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hint="default" w:ascii="Arial" w:hAnsi="Arial" w:eastAsia="MS Mincho" w:cs="Arial"/>
          <w:b/>
          <w:bCs/>
          <w:sz w:val="22"/>
          <w:szCs w:val="32"/>
          <w:lang w:val="en-US" w:eastAsia="ja-JP"/>
        </w:rPr>
      </w:pPr>
      <w:bookmarkStart w:id="11" w:name="_GoBack"/>
      <w:bookmarkEnd w:id="11"/>
      <w:r>
        <w:rPr>
          <w:rFonts w:ascii="Arial" w:hAnsi="Arial" w:eastAsia="MS Mincho" w:cs="Arial"/>
          <w:b/>
          <w:bCs/>
          <w:sz w:val="22"/>
          <w:szCs w:val="32"/>
          <w:lang w:eastAsia="ja-JP"/>
        </w:rPr>
        <w:t>3GPP TSG RAN WG1 #11</w:t>
      </w:r>
      <w:r>
        <w:rPr>
          <w:rFonts w:hint="default" w:ascii="Arial" w:hAnsi="Arial" w:eastAsia="MS Mincho" w:cs="Arial"/>
          <w:b/>
          <w:bCs/>
          <w:sz w:val="22"/>
          <w:szCs w:val="32"/>
          <w:lang w:eastAsia="ja-JP"/>
        </w:rPr>
        <w:t>4</w:t>
      </w:r>
      <w:r>
        <w:rPr>
          <w:rFonts w:hint="default" w:ascii="Arial" w:hAnsi="Arial" w:eastAsia="MS Mincho" w:cs="Arial"/>
          <w:b/>
          <w:bCs/>
          <w:sz w:val="22"/>
          <w:szCs w:val="32"/>
          <w:lang w:val="en-US" w:eastAsia="ja-JP"/>
        </w:rPr>
        <w:t>bis</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val="en-US" w:eastAsia="ja-JP"/>
        </w:rPr>
        <w:t>R1-2309838</w:t>
      </w:r>
    </w:p>
    <w:p>
      <w:pPr>
        <w:tabs>
          <w:tab w:val="center" w:pos="4536"/>
          <w:tab w:val="right" w:pos="8600"/>
        </w:tabs>
        <w:spacing w:after="0"/>
        <w:rPr>
          <w:rFonts w:ascii="Arial" w:hAnsi="Arial" w:eastAsia="MS Mincho" w:cs="Arial"/>
          <w:b/>
          <w:bCs/>
          <w:sz w:val="22"/>
          <w:szCs w:val="32"/>
          <w:lang w:eastAsia="ja-JP"/>
        </w:rPr>
      </w:pPr>
      <w:r>
        <w:rPr>
          <w:rFonts w:hint="default" w:ascii="Arial" w:hAnsi="Arial" w:eastAsia="MS Mincho" w:cs="Arial"/>
          <w:b/>
          <w:bCs/>
          <w:sz w:val="22"/>
          <w:szCs w:val="32"/>
          <w:lang w:val="en-US" w:eastAsia="ja-JP"/>
        </w:rPr>
        <w:t>Xiamen</w:t>
      </w:r>
      <w:r>
        <w:rPr>
          <w:rFonts w:ascii="Arial" w:hAnsi="Arial" w:eastAsia="MS Mincho" w:cs="Arial"/>
          <w:b/>
          <w:bCs/>
          <w:sz w:val="22"/>
          <w:szCs w:val="32"/>
          <w:lang w:eastAsia="ja-JP"/>
        </w:rPr>
        <w:t xml:space="preserve">, </w:t>
      </w:r>
      <w:r>
        <w:rPr>
          <w:rFonts w:hint="default" w:ascii="Arial" w:hAnsi="Arial" w:eastAsia="MS Mincho" w:cs="Arial"/>
          <w:b/>
          <w:bCs/>
          <w:sz w:val="22"/>
          <w:szCs w:val="32"/>
          <w:lang w:val="en-US" w:eastAsia="ja-JP"/>
        </w:rPr>
        <w:t>China</w:t>
      </w:r>
      <w:r>
        <w:rPr>
          <w:rFonts w:ascii="Arial" w:hAnsi="Arial" w:eastAsia="MS Mincho" w:cs="Arial"/>
          <w:b/>
          <w:bCs/>
          <w:sz w:val="22"/>
          <w:szCs w:val="32"/>
          <w:lang w:eastAsia="ja-JP"/>
        </w:rPr>
        <w:t>, October 9</w:t>
      </w:r>
      <w:r>
        <w:rPr>
          <w:rFonts w:hint="eastAsia" w:ascii="Arial" w:hAnsi="Arial" w:eastAsia="MS Mincho" w:cs="Arial"/>
          <w:b/>
          <w:bCs/>
          <w:sz w:val="22"/>
          <w:szCs w:val="32"/>
          <w:lang w:eastAsia="ja-JP"/>
        </w:rPr>
        <w:t>th</w:t>
      </w:r>
      <w:r>
        <w:rPr>
          <w:rFonts w:ascii="Arial" w:hAnsi="Arial" w:eastAsia="MS Mincho" w:cs="Arial"/>
          <w:b/>
          <w:bCs/>
          <w:sz w:val="22"/>
          <w:szCs w:val="32"/>
          <w:lang w:eastAsia="ja-JP"/>
        </w:rPr>
        <w:t xml:space="preserve"> – </w:t>
      </w:r>
      <w:r>
        <w:rPr>
          <w:rFonts w:hint="eastAsia" w:ascii="Arial" w:hAnsi="Arial" w:eastAsia="MS Mincho" w:cs="Arial"/>
          <w:b/>
          <w:bCs/>
          <w:sz w:val="22"/>
          <w:szCs w:val="32"/>
          <w:lang w:eastAsia="ja-JP"/>
        </w:rPr>
        <w:t>October</w:t>
      </w:r>
      <w:r>
        <w:rPr>
          <w:rFonts w:ascii="Arial" w:hAnsi="Arial" w:eastAsia="MS Mincho" w:cs="Arial"/>
          <w:b/>
          <w:bCs/>
          <w:sz w:val="22"/>
          <w:szCs w:val="32"/>
          <w:lang w:eastAsia="ja-JP"/>
        </w:rPr>
        <w:t xml:space="preserve"> 13th, 2023</w:t>
      </w:r>
    </w:p>
    <w:p>
      <w:pPr>
        <w:tabs>
          <w:tab w:val="center" w:pos="4536"/>
          <w:tab w:val="right" w:pos="9072"/>
        </w:tabs>
        <w:spacing w:after="0"/>
        <w:rPr>
          <w:rFonts w:ascii="Arial" w:hAnsi="Arial" w:eastAsia="MS Mincho" w:cs="Arial"/>
          <w:b/>
          <w:bCs/>
          <w:sz w:val="22"/>
          <w:szCs w:val="32"/>
          <w:lang w:eastAsia="ja-JP"/>
        </w:rPr>
      </w:pPr>
    </w:p>
    <w:p>
      <w:pPr>
        <w:pStyle w:val="44"/>
        <w:spacing w:after="0"/>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rPr>
        <w:t>8.5.1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hint="default" w:ascii="Arial" w:hAnsi="Arial" w:cs="Arial"/>
          <w:sz w:val="22"/>
          <w:szCs w:val="22"/>
          <w:lang w:val="en-US"/>
        </w:rPr>
        <w:t>O</w:t>
      </w:r>
      <w:r>
        <w:rPr>
          <w:rFonts w:ascii="Arial" w:hAnsi="Arial" w:cs="Arial"/>
          <w:sz w:val="22"/>
          <w:szCs w:val="22"/>
        </w:rPr>
        <w:t xml:space="preserve">n </w:t>
      </w:r>
      <w:r>
        <w:rPr>
          <w:rFonts w:hint="default" w:ascii="Arial" w:hAnsi="Arial" w:cs="Arial"/>
          <w:sz w:val="22"/>
          <w:szCs w:val="22"/>
        </w:rPr>
        <w:t xml:space="preserve">remaining issues for </w:t>
      </w:r>
      <w:r>
        <w:rPr>
          <w:rFonts w:ascii="Arial" w:hAnsi="Arial" w:cs="Arial"/>
          <w:sz w:val="22"/>
          <w:szCs w:val="22"/>
        </w:rPr>
        <w:t>spatial and power domain enhancements to support network energy saving</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rPr>
          <w:rFonts w:hint="default"/>
        </w:rPr>
        <w:t xml:space="preserve"> </w:t>
      </w:r>
      <w:r>
        <w:t>Introduction</w:t>
      </w:r>
    </w:p>
    <w:p>
      <w:pPr>
        <w:jc w:val="both"/>
      </w:pPr>
      <w:r>
        <w:t>In RAN1 #11</w:t>
      </w:r>
      <w:r>
        <w:rPr>
          <w:rFonts w:hint="default"/>
          <w:lang w:val="en-US"/>
        </w:rPr>
        <w:t>4</w:t>
      </w:r>
      <w:r>
        <w:t xml:space="preserve"> meeting, several </w:t>
      </w:r>
      <w:r>
        <w:rPr>
          <w:rFonts w:hint="default"/>
        </w:rPr>
        <w:t>agreements</w:t>
      </w:r>
      <w:r>
        <w:t xml:space="preserve"> on spatial and power domain enhancements to support network energy saving was made, including </w:t>
      </w:r>
      <w:r>
        <w:rPr>
          <w:rFonts w:hint="default"/>
        </w:rPr>
        <w:t xml:space="preserve">association between </w:t>
      </w:r>
      <w:r>
        <w:t>resource configurations</w:t>
      </w:r>
      <w:r>
        <w:rPr>
          <w:rFonts w:hint="default"/>
        </w:rPr>
        <w:t xml:space="preserve"> and </w:t>
      </w:r>
      <w:r>
        <w:t>report configurations,</w:t>
      </w:r>
      <w:r>
        <w:rPr>
          <w:rFonts w:hint="default"/>
        </w:rPr>
        <w:t xml:space="preserve"> and CPU occupation rule under current NES CSI reporting framework,</w:t>
      </w:r>
      <w:r>
        <w:t>etc. In this contribution, we provide our considerations</w:t>
      </w:r>
      <w:r>
        <w:rPr>
          <w:rFonts w:hint="default"/>
        </w:rPr>
        <w:t xml:space="preserve"> on the remaining issues under this agenda</w:t>
      </w:r>
      <w:r>
        <w:t>.</w:t>
      </w:r>
    </w:p>
    <w:p>
      <w:pPr>
        <w:pStyle w:val="2"/>
        <w:jc w:val="both"/>
      </w:pPr>
      <w:r>
        <w:rPr>
          <w:rFonts w:hint="default"/>
        </w:rPr>
        <w:t xml:space="preserve"> </w:t>
      </w:r>
      <w:r>
        <w:rPr>
          <w:rFonts w:hint="default"/>
          <w:lang w:val="en-US"/>
        </w:rPr>
        <w:t>A</w:t>
      </w:r>
      <w:r>
        <w:rPr>
          <w:rFonts w:hint="default"/>
        </w:rPr>
        <w:t>ctive CSI-RS</w:t>
      </w:r>
      <w:r>
        <w:rPr>
          <w:rFonts w:hint="default"/>
          <w:lang w:val="en-US"/>
        </w:rPr>
        <w:t xml:space="preserve"> port</w:t>
      </w:r>
      <w:r>
        <w:rPr>
          <w:rFonts w:hint="default"/>
        </w:rPr>
        <w:t xml:space="preserve"> counting</w:t>
      </w:r>
      <w:r>
        <w:t xml:space="preserve"> </w:t>
      </w:r>
    </w:p>
    <w:p>
      <w:pPr>
        <w:rPr>
          <w:rFonts w:hint="default" w:ascii="Times New Roman Regular" w:hAnsi="Times New Roman Regular" w:cs="Times New Roman Regular"/>
        </w:rPr>
      </w:pPr>
      <w:r>
        <w:rPr>
          <w:rFonts w:hint="default" w:ascii="Times New Roman Regular" w:hAnsi="Times New Roman Regular" w:cs="Times New Roman Regular"/>
        </w:rPr>
        <w:t>In RAN1 #11</w:t>
      </w:r>
      <w:r>
        <w:rPr>
          <w:rFonts w:hint="default" w:ascii="Times New Roman Regular" w:hAnsi="Times New Roman Regular" w:cs="Times New Roman Regular"/>
          <w:lang w:val="en-US"/>
        </w:rPr>
        <w:t>4</w:t>
      </w:r>
      <w:r>
        <w:rPr>
          <w:rFonts w:hint="default" w:ascii="Times New Roman Regular" w:hAnsi="Times New Roman Regular" w:cs="Times New Roman Regular"/>
        </w:rPr>
        <w:t xml:space="preserve"> [1], </w:t>
      </w:r>
      <w:r>
        <w:rPr>
          <w:rFonts w:hint="default" w:ascii="Times New Roman Regular" w:hAnsi="Times New Roman Regular" w:cs="Times New Roman Regular"/>
          <w:lang w:val="en-US"/>
        </w:rPr>
        <w:t>the counting rule for active CSI-RS ports has been discussed and was controversial. The following agreements were made with further discussions needed in the maintenance phase</w:t>
      </w:r>
      <w:r>
        <w:rPr>
          <w:rFonts w:hint="default" w:ascii="Times New Roman Regular" w:hAnsi="Times New Roman Regular" w:cs="Times New Roman Regular"/>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tabs>
                <w:tab w:val="left" w:pos="1440"/>
              </w:tabs>
              <w:rPr>
                <w:b/>
                <w:bCs/>
                <w:snapToGrid w:val="0"/>
                <w:szCs w:val="20"/>
                <w:highlight w:val="green"/>
                <w:lang w:eastAsia="zh-CN"/>
              </w:rPr>
            </w:pPr>
            <w:r>
              <w:rPr>
                <w:b/>
                <w:bCs/>
                <w:snapToGrid w:val="0"/>
                <w:szCs w:val="20"/>
                <w:highlight w:val="green"/>
                <w:lang w:eastAsia="zh-CN"/>
              </w:rPr>
              <w:t>Agreement</w:t>
            </w:r>
          </w:p>
          <w:p>
            <w:pPr>
              <w:tabs>
                <w:tab w:val="left" w:pos="1440"/>
              </w:tabs>
              <w:rPr>
                <w:snapToGrid w:val="0"/>
                <w:lang w:eastAsia="zh-CN"/>
              </w:rPr>
            </w:pPr>
            <w:r>
              <w:rPr>
                <w:bCs/>
                <w:iCs/>
              </w:rPr>
              <w:t>F</w:t>
            </w:r>
            <w:r>
              <w:rPr>
                <w:rFonts w:eastAsia="宋体"/>
                <w:bCs/>
                <w:iCs/>
              </w:rPr>
              <w:t xml:space="preserve">or a CSI report configuration containing sub-configuration(s), if a CSI-RS resource is referred by M sub-configurations among X sub-configurations, the CSI-RS resource is counted M times and </w:t>
            </w:r>
            <w:r>
              <w:rPr>
                <w:bCs/>
                <w:iCs/>
              </w:rPr>
              <w:t>CSI-RS ports within the CSI-RS resource are counted by</w:t>
            </w:r>
          </w:p>
          <w:p>
            <w:pPr>
              <w:pStyle w:val="47"/>
              <w:numPr>
                <w:ilvl w:val="0"/>
                <w:numId w:val="3"/>
              </w:numPr>
              <w:tabs>
                <w:tab w:val="left" w:pos="600"/>
              </w:tabs>
              <w:ind w:left="0" w:leftChars="0" w:firstLine="400"/>
              <w:jc w:val="both"/>
              <w:rPr>
                <w:bCs/>
                <w:iCs/>
              </w:rPr>
            </w:pPr>
            <w:r>
              <w:rPr>
                <w:bCs/>
                <w:iCs/>
              </w:rPr>
              <w:t xml:space="preserve">Option 2A: </w:t>
            </w:r>
            <w:r>
              <w:rPr>
                <w:bCs/>
                <w:iCs/>
              </w:rPr>
              <w:fldChar w:fldCharType="begin"/>
            </w:r>
            <w:r>
              <w:rPr>
                <w:bCs/>
                <w:iCs/>
              </w:rPr>
              <w:instrText xml:space="preserve"> QUOTE </w:instrText>
            </w:r>
            <w:r>
              <w:rPr>
                <w:position w:val="-5"/>
              </w:rPr>
              <w:pict>
                <v:shape id="_x0000_i1025" o:spt="75" type="#_x0000_t75" style="height:12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Cs/>
                <w:iCs/>
              </w:rPr>
              <w:instrText xml:space="preserve"> </w:instrText>
            </w:r>
            <w:r>
              <w:rPr>
                <w:bCs/>
                <w:iCs/>
              </w:rPr>
              <w:fldChar w:fldCharType="separate"/>
            </w:r>
            <w:r>
              <w:rPr>
                <w:position w:val="-5"/>
              </w:rPr>
              <w:pict>
                <v:shape id="_x0000_i1026" o:spt="75" type="#_x0000_t75" style="height:12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bCs/>
                <w:iCs/>
              </w:rPr>
              <w:fldChar w:fldCharType="end"/>
            </w:r>
            <w:r>
              <w:rPr>
                <w:bCs/>
                <w:iCs/>
              </w:rPr>
              <w:t xml:space="preserve"> for Type 1 SD adaptation,</w:t>
            </w:r>
            <w:r>
              <w:rPr>
                <w:rFonts w:eastAsia="PMingLiU"/>
                <w:bCs/>
                <w:iCs/>
                <w:lang w:eastAsia="ko-KR"/>
              </w:rPr>
              <w:t xml:space="preserve"> and </w:t>
            </w:r>
            <w:r>
              <w:rPr>
                <w:rFonts w:eastAsia="PMingLiU"/>
                <w:bCs/>
                <w:iCs/>
                <w:lang w:eastAsia="ko-KR"/>
              </w:rPr>
              <w:fldChar w:fldCharType="begin"/>
            </w:r>
            <w:r>
              <w:rPr>
                <w:rFonts w:eastAsia="PMingLiU"/>
                <w:bCs/>
                <w:iCs/>
                <w:lang w:eastAsia="ko-KR"/>
              </w:rPr>
              <w:instrText xml:space="preserve"> QUOTE </w:instrText>
            </w:r>
            <w:r>
              <w:rPr>
                <w:position w:val="-5"/>
              </w:rPr>
              <w:pict>
                <v:shape id="_x0000_i1027" o:spt="75" type="#_x0000_t75" style="height:12pt;width:2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PMingLiU"/>
                <w:bCs/>
                <w:iCs/>
                <w:lang w:eastAsia="ko-KR"/>
              </w:rPr>
              <w:instrText xml:space="preserve"> </w:instrText>
            </w:r>
            <w:r>
              <w:rPr>
                <w:rFonts w:eastAsia="PMingLiU"/>
                <w:bCs/>
                <w:iCs/>
                <w:lang w:eastAsia="ko-KR"/>
              </w:rPr>
              <w:fldChar w:fldCharType="separate"/>
            </w:r>
            <w:r>
              <w:rPr>
                <w:position w:val="-5"/>
              </w:rPr>
              <w:pict>
                <v:shape id="_x0000_i1028" o:spt="75" type="#_x0000_t75" style="height:12pt;width:2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lt;/m:t&gt;&lt;/m:r&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PMingLiU"/>
                <w:bCs/>
                <w:iCs/>
                <w:lang w:eastAsia="ko-KR"/>
              </w:rPr>
              <w:fldChar w:fldCharType="end"/>
            </w:r>
            <w:r>
              <w:rPr>
                <w:rFonts w:eastAsia="PMingLiU"/>
                <w:bCs/>
                <w:iCs/>
                <w:lang w:eastAsia="ko-KR"/>
              </w:rPr>
              <w:t xml:space="preserve"> for Type 2 SD or PD adaptation.</w:t>
            </w:r>
          </w:p>
          <w:p>
            <w:pPr>
              <w:pStyle w:val="47"/>
              <w:numPr>
                <w:ilvl w:val="0"/>
                <w:numId w:val="3"/>
              </w:numPr>
              <w:tabs>
                <w:tab w:val="left" w:pos="600"/>
              </w:tabs>
              <w:ind w:left="0" w:leftChars="0" w:firstLine="400"/>
              <w:jc w:val="both"/>
              <w:rPr>
                <w:bCs/>
                <w:iCs/>
              </w:rPr>
            </w:pPr>
            <w:r>
              <w:rPr>
                <w:rFonts w:eastAsia="Malgun Gothic"/>
                <w:bCs/>
                <w:iCs/>
                <w:lang w:eastAsia="ko-KR"/>
              </w:rPr>
              <w:fldChar w:fldCharType="begin"/>
            </w:r>
            <w:r>
              <w:rPr>
                <w:rFonts w:eastAsia="Malgun Gothic"/>
                <w:bCs/>
                <w:iCs/>
                <w:lang w:eastAsia="ko-KR"/>
              </w:rPr>
              <w:instrText xml:space="preserve"> QUOTE </w:instrText>
            </w:r>
            <w:r>
              <w:rPr>
                <w:position w:val="-5"/>
              </w:rPr>
              <w:pict>
                <v:shape id="_x0000_i1029"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bCs/>
                <w:iCs/>
                <w:lang w:eastAsia="ko-KR"/>
              </w:rPr>
              <w:instrText xml:space="preserve"> </w:instrText>
            </w:r>
            <w:r>
              <w:rPr>
                <w:rFonts w:eastAsia="Malgun Gothic"/>
                <w:bCs/>
                <w:iCs/>
                <w:lang w:eastAsia="ko-KR"/>
              </w:rPr>
              <w:fldChar w:fldCharType="separate"/>
            </w:r>
            <w:r>
              <w:rPr>
                <w:position w:val="-5"/>
              </w:rPr>
              <w:pict>
                <v:shape id="_x0000_i1030"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bCs/>
                <w:iCs/>
                <w:lang w:eastAsia="ko-KR"/>
              </w:rPr>
              <w:fldChar w:fldCharType="end"/>
            </w:r>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w:r>
              <w:rPr>
                <w:rFonts w:eastAsia="PMingLiU"/>
                <w:bCs/>
                <w:iCs/>
                <w:lang w:eastAsia="ko-KR"/>
              </w:rPr>
              <w:fldChar w:fldCharType="begin"/>
            </w:r>
            <w:r>
              <w:rPr>
                <w:rFonts w:eastAsia="PMingLiU"/>
                <w:bCs/>
                <w:iCs/>
                <w:lang w:eastAsia="ko-KR"/>
              </w:rPr>
              <w:instrText xml:space="preserve"> QUOTE </w:instrText>
            </w:r>
            <w:r>
              <w:rPr>
                <w:position w:val="-5"/>
              </w:rPr>
              <w:pict>
                <v:shape id="_x0000_i1031" o:spt="75" type="#_x0000_t75" style="height:12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PMingLiU"/>
                <w:bCs/>
                <w:iCs/>
                <w:lang w:eastAsia="ko-KR"/>
              </w:rPr>
              <w:instrText xml:space="preserve"> </w:instrText>
            </w:r>
            <w:r>
              <w:rPr>
                <w:rFonts w:eastAsia="PMingLiU"/>
                <w:bCs/>
                <w:iCs/>
                <w:lang w:eastAsia="ko-KR"/>
              </w:rPr>
              <w:fldChar w:fldCharType="separate"/>
            </w:r>
            <w:r>
              <w:rPr>
                <w:position w:val="-5"/>
              </w:rPr>
              <w:pict>
                <v:shape id="_x0000_i1032" o:spt="75" type="#_x0000_t75" style="height:12pt;width:8.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PMingLiU"/>
                <w:bCs/>
                <w:iCs/>
                <w:lang w:eastAsia="ko-KR"/>
              </w:rPr>
              <w:fldChar w:fldCharType="end"/>
            </w:r>
            <w:r>
              <w:rPr>
                <w:rFonts w:eastAsia="PMingLiU"/>
                <w:bCs/>
                <w:iCs/>
                <w:lang w:eastAsia="ko-KR"/>
              </w:rPr>
              <w:t xml:space="preserve"> is the number of CSI-RS ports in sub-configuration s derived from port subset indication.</w:t>
            </w:r>
          </w:p>
          <w:p>
            <w:pPr>
              <w:numPr>
                <w:ilvl w:val="0"/>
                <w:numId w:val="4"/>
              </w:numPr>
              <w:tabs>
                <w:tab w:val="left" w:pos="800"/>
              </w:tabs>
              <w:ind w:left="800" w:leftChars="0" w:hanging="440" w:firstLineChars="0"/>
              <w:rPr>
                <w:rFonts w:hint="default" w:ascii="Times New Roman Regular" w:hAnsi="Times New Roman Regular" w:cs="Times New Roman Regular"/>
                <w:sz w:val="20"/>
                <w:szCs w:val="24"/>
                <w:lang w:val="en-US" w:eastAsia="zh-CN"/>
              </w:rPr>
            </w:pPr>
            <w:r>
              <w:rPr>
                <w:bCs/>
                <w:iCs/>
              </w:rPr>
              <w:t>It is understood that further discussions are necessary</w:t>
            </w:r>
          </w:p>
        </w:tc>
      </w:tr>
    </w:tbl>
    <w:p>
      <w:pPr>
        <w:rPr>
          <w:rFonts w:hint="default"/>
        </w:rPr>
      </w:pPr>
    </w:p>
    <w:p>
      <w:pPr>
        <w:rPr>
          <w:rFonts w:hint="default"/>
          <w:lang w:val="en-US"/>
        </w:rPr>
      </w:pPr>
      <w:r>
        <w:rPr>
          <w:rFonts w:hint="default"/>
          <w:lang w:val="en-US"/>
        </w:rPr>
        <w:t xml:space="preserve">There were discussions in last RAN1 meeting that based on the agreed active CSI-RS port counting rule, a UE that reports a maximum capability to support P active CSI-RS ports, can not support the NES feature if the CSI-RS resource is configured as P ports. </w:t>
      </w:r>
    </w:p>
    <w:p>
      <w:pPr>
        <w:rPr>
          <w:rFonts w:hint="default"/>
          <w:lang w:val="en-US"/>
        </w:rPr>
      </w:pPr>
      <w:r>
        <w:rPr>
          <w:rFonts w:hint="default"/>
          <w:lang w:val="en-US"/>
        </w:rPr>
        <w:t xml:space="preserve">From the current UE capability as copied below, it can be viewed that the maximum number of active CSI-RS ports </w:t>
      </w:r>
      <w:r>
        <w:rPr>
          <w:rFonts w:hint="default"/>
          <w:color w:val="000000" w:themeColor="text1"/>
          <w:lang w:val="en-US"/>
          <w14:textFill>
            <w14:solidFill>
              <w14:schemeClr w14:val="tx1"/>
            </w14:solidFill>
          </w14:textFill>
        </w:rPr>
        <w:t>(</w:t>
      </w:r>
      <w:r>
        <w:rPr>
          <w:color w:val="000000" w:themeColor="text1"/>
          <w14:textFill>
            <w14:solidFill>
              <w14:schemeClr w14:val="tx1"/>
            </w14:solidFill>
          </w14:textFill>
        </w:rPr>
        <w:t>totalNumberPortsSimultaneousNZP-CSI-RS-PerCC</w:t>
      </w:r>
      <w:r>
        <w:rPr>
          <w:rFonts w:hint="default"/>
          <w:color w:val="000000" w:themeColor="text1"/>
          <w:lang w:val="en-US"/>
          <w14:textFill>
            <w14:solidFill>
              <w14:schemeClr w14:val="tx1"/>
            </w14:solidFill>
          </w14:textFill>
        </w:rPr>
        <w:t xml:space="preserve">) </w:t>
      </w:r>
      <w:r>
        <w:rPr>
          <w:rFonts w:hint="default"/>
          <w:lang w:val="en-US"/>
        </w:rPr>
        <w:t>can reach 256, which is 8 times the maximum number of ports of a CSI-RS resource. This maximum value has provided enough room for UE to support NES feature.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pStyle w:val="5"/>
              <w:numPr>
                <w:ilvl w:val="3"/>
                <w:numId w:val="0"/>
              </w:numPr>
              <w:ind w:leftChars="0"/>
            </w:pPr>
            <w:bookmarkStart w:id="0" w:name="_Toc60777463"/>
            <w:bookmarkStart w:id="1" w:name="_Toc115429309"/>
            <w:r>
              <w:t>–</w:t>
            </w:r>
            <w:r>
              <w:tab/>
            </w:r>
            <w:r>
              <w:rPr>
                <w:i/>
              </w:rPr>
              <w:t>MIMO-ParametersPerBand</w:t>
            </w:r>
            <w:bookmarkEnd w:id="0"/>
            <w:bookmarkEnd w:id="1"/>
          </w:p>
          <w:p>
            <w:r>
              <w:t xml:space="preserve">The IE </w:t>
            </w:r>
            <w:r>
              <w:rPr>
                <w:i/>
              </w:rPr>
              <w:t>MIMO-ParametersPerBand</w:t>
            </w:r>
            <w:r>
              <w:t xml:space="preserve"> is used to convey MIMO related parameters specific for a certain band (not per feature set or band combination).</w:t>
            </w:r>
          </w:p>
          <w:p>
            <w:pPr>
              <w:rPr>
                <w:rFonts w:hint="default"/>
                <w:lang w:val="en-US"/>
              </w:rPr>
            </w:pPr>
            <w:r>
              <w:rPr>
                <w:rFonts w:hint="default"/>
                <w:lang w:val="en-US"/>
              </w:rPr>
              <w:t>......</w:t>
            </w:r>
          </w:p>
          <w:p>
            <w:pPr>
              <w:pStyle w:val="82"/>
            </w:pPr>
            <w:r>
              <w:t xml:space="preserve">CSI-RS-IM-ReceptionForFeedback ::=              </w:t>
            </w:r>
            <w:r>
              <w:rPr>
                <w:color w:val="993366"/>
              </w:rPr>
              <w:t>SEQUENCE</w:t>
            </w:r>
            <w:r>
              <w:t xml:space="preserve"> {</w:t>
            </w:r>
          </w:p>
          <w:p>
            <w:pPr>
              <w:pStyle w:val="82"/>
            </w:pPr>
            <w:r>
              <w:rPr>
                <w:color w:val="000000" w:themeColor="text1"/>
                <w14:textFill>
                  <w14:solidFill>
                    <w14:schemeClr w14:val="tx1"/>
                  </w14:solidFill>
                </w14:textFill>
              </w:rPr>
              <w:t xml:space="preserve">    maxConfigNumberNZP-CSI-RS-PerCC </w:t>
            </w:r>
            <w:r>
              <w:t xml:space="preserve">                </w:t>
            </w:r>
            <w:r>
              <w:rPr>
                <w:color w:val="993366"/>
              </w:rPr>
              <w:t>INTEGER</w:t>
            </w:r>
            <w:r>
              <w:t xml:space="preserve"> (1..64),</w:t>
            </w:r>
          </w:p>
          <w:p>
            <w:pPr>
              <w:pStyle w:val="82"/>
            </w:pPr>
            <w:r>
              <w:t xml:space="preserve">    maxConfigNumberPortsAcrossNZP-CSI-RS-PerCC      </w:t>
            </w:r>
            <w:r>
              <w:rPr>
                <w:color w:val="993366"/>
              </w:rPr>
              <w:t>INTEGER</w:t>
            </w:r>
            <w:r>
              <w:t xml:space="preserve"> (2..256),</w:t>
            </w:r>
          </w:p>
          <w:p>
            <w:pPr>
              <w:pStyle w:val="82"/>
            </w:pPr>
            <w:r>
              <w:t xml:space="preserve">    maxConfigNumberCSI-IM-PerCC                     </w:t>
            </w:r>
            <w:r>
              <w:rPr>
                <w:color w:val="993366"/>
              </w:rPr>
              <w:t>ENUMERATED</w:t>
            </w:r>
            <w:r>
              <w:t xml:space="preserve"> {n1, n2, n4, n8, n16, n32},</w:t>
            </w:r>
          </w:p>
          <w:p>
            <w:pPr>
              <w:pStyle w:val="82"/>
            </w:pPr>
            <w:r>
              <w:t xml:space="preserve">    </w:t>
            </w:r>
            <w:r>
              <w:rPr>
                <w:color w:val="FF0000"/>
              </w:rPr>
              <w:t>maxNumberSimultaneousNZP-CSI-RS-PerCC</w:t>
            </w:r>
            <w:r>
              <w:t xml:space="preserve">           </w:t>
            </w:r>
            <w:r>
              <w:rPr>
                <w:color w:val="993366"/>
              </w:rPr>
              <w:t>INTEGER</w:t>
            </w:r>
            <w:r>
              <w:t xml:space="preserve"> (1..64),</w:t>
            </w:r>
          </w:p>
          <w:p>
            <w:pPr>
              <w:pStyle w:val="82"/>
            </w:pPr>
            <w:r>
              <w:t xml:space="preserve">    </w:t>
            </w:r>
            <w:r>
              <w:rPr>
                <w:color w:val="FF0000"/>
              </w:rPr>
              <w:t>totalNumberPortsSimultaneousNZP-CSI-RS-PerCC</w:t>
            </w:r>
            <w:r>
              <w:t xml:space="preserve">    </w:t>
            </w:r>
            <w:r>
              <w:rPr>
                <w:color w:val="993366"/>
              </w:rPr>
              <w:t>INTEGER</w:t>
            </w:r>
            <w:r>
              <w:t xml:space="preserve"> (2..256)</w:t>
            </w:r>
          </w:p>
          <w:p>
            <w:pPr>
              <w:pStyle w:val="82"/>
            </w:pPr>
            <w:r>
              <w:t>}</w:t>
            </w:r>
          </w:p>
          <w:p>
            <w:pPr>
              <w:pStyle w:val="82"/>
            </w:pPr>
          </w:p>
          <w:p>
            <w:pPr>
              <w:pStyle w:val="82"/>
            </w:pPr>
            <w:r>
              <w:t xml:space="preserve">CSI-ReportFramework ::=                         </w:t>
            </w:r>
            <w:r>
              <w:rPr>
                <w:color w:val="993366"/>
              </w:rPr>
              <w:t>SEQUENCE</w:t>
            </w:r>
            <w:r>
              <w:t xml:space="preserve"> {</w:t>
            </w:r>
          </w:p>
          <w:p>
            <w:pPr>
              <w:pStyle w:val="82"/>
            </w:pPr>
            <w:r>
              <w:t xml:space="preserve">    maxNumberPeriodicCSI-PerBWP-ForCSI-Report       </w:t>
            </w:r>
            <w:r>
              <w:rPr>
                <w:color w:val="993366"/>
              </w:rPr>
              <w:t>INTEGER</w:t>
            </w:r>
            <w:r>
              <w:t xml:space="preserve"> (1..4),</w:t>
            </w:r>
          </w:p>
          <w:p>
            <w:pPr>
              <w:pStyle w:val="82"/>
            </w:pPr>
            <w:r>
              <w:t xml:space="preserve">    maxNumberAperiodicCSI-PerBWP-ForCSI-Report      </w:t>
            </w:r>
            <w:r>
              <w:rPr>
                <w:color w:val="993366"/>
              </w:rPr>
              <w:t>INTEGER</w:t>
            </w:r>
            <w:r>
              <w:t xml:space="preserve"> (1..4),</w:t>
            </w:r>
          </w:p>
          <w:p>
            <w:pPr>
              <w:pStyle w:val="82"/>
            </w:pPr>
            <w:r>
              <w:t xml:space="preserve">    maxNumberSemiPersistentCSI-PerBWP-ForCSI-Report </w:t>
            </w:r>
            <w:r>
              <w:rPr>
                <w:color w:val="993366"/>
              </w:rPr>
              <w:t>INTEGER</w:t>
            </w:r>
            <w:r>
              <w:t xml:space="preserve"> (0..4),</w:t>
            </w:r>
          </w:p>
          <w:p>
            <w:pPr>
              <w:pStyle w:val="82"/>
            </w:pPr>
            <w:r>
              <w:t xml:space="preserve">    maxNumberPeriodicCSI-PerBWP-ForBeamReport       </w:t>
            </w:r>
            <w:r>
              <w:rPr>
                <w:color w:val="993366"/>
              </w:rPr>
              <w:t>INTEGER</w:t>
            </w:r>
            <w:r>
              <w:t xml:space="preserve"> (1..4),</w:t>
            </w:r>
          </w:p>
          <w:p>
            <w:pPr>
              <w:pStyle w:val="82"/>
            </w:pPr>
            <w:r>
              <w:t xml:space="preserve">    maxNumberAperiodicCSI-PerBWP-ForBeamReport      </w:t>
            </w:r>
            <w:r>
              <w:rPr>
                <w:color w:val="993366"/>
              </w:rPr>
              <w:t>INTEGER</w:t>
            </w:r>
            <w:r>
              <w:t xml:space="preserve"> (1..4),</w:t>
            </w:r>
          </w:p>
          <w:p>
            <w:pPr>
              <w:pStyle w:val="82"/>
              <w:rPr>
                <w:color w:val="000000" w:themeColor="text1"/>
                <w14:textFill>
                  <w14:solidFill>
                    <w14:schemeClr w14:val="tx1"/>
                  </w14:solidFill>
                </w14:textFill>
              </w:rPr>
            </w:pPr>
            <w:r>
              <w:t xml:space="preserve">  </w:t>
            </w:r>
            <w:r>
              <w:rPr>
                <w:color w:val="000000" w:themeColor="text1"/>
                <w14:textFill>
                  <w14:solidFill>
                    <w14:schemeClr w14:val="tx1"/>
                  </w14:solidFill>
                </w14:textFill>
              </w:rPr>
              <w:t xml:space="preserve">  maxNumberAperiodicCSI-triggeringStatePerCC      ENUMERATED {n3, n7, n15, n31, n63, n128},</w:t>
            </w:r>
          </w:p>
          <w:p>
            <w:pPr>
              <w:pStyle w:val="82"/>
            </w:pPr>
            <w:r>
              <w:t xml:space="preserve">    maxNumberSemiPersistentCSI-PerBWP-ForBeamReport </w:t>
            </w:r>
            <w:r>
              <w:rPr>
                <w:color w:val="993366"/>
              </w:rPr>
              <w:t>INTEGER</w:t>
            </w:r>
            <w:r>
              <w:t xml:space="preserve"> (0..4),</w:t>
            </w:r>
          </w:p>
          <w:p>
            <w:pPr>
              <w:pStyle w:val="82"/>
              <w:rPr>
                <w:color w:val="FF0000"/>
              </w:rPr>
            </w:pPr>
            <w:r>
              <w:t xml:space="preserve">    </w:t>
            </w:r>
            <w:r>
              <w:rPr>
                <w:color w:val="FF0000"/>
              </w:rPr>
              <w:t>simultaneousCSI-ReportsPerCC                    INTEGER (1..8)</w:t>
            </w:r>
          </w:p>
          <w:p>
            <w:pPr>
              <w:pStyle w:val="82"/>
              <w:rPr>
                <w:rFonts w:hint="default"/>
                <w:vertAlign w:val="baseline"/>
                <w:lang w:val="en-US"/>
              </w:rPr>
            </w:pPr>
            <w:r>
              <w:t>}</w:t>
            </w:r>
          </w:p>
        </w:tc>
      </w:tr>
    </w:tbl>
    <w:p>
      <w:pPr>
        <w:rPr>
          <w:rFonts w:hint="default"/>
          <w:lang w:val="en-US"/>
        </w:rPr>
      </w:pPr>
    </w:p>
    <w:p>
      <w:pPr>
        <w:rPr>
          <w:rFonts w:hint="default"/>
          <w:lang w:val="en-US"/>
        </w:rPr>
      </w:pPr>
      <w:r>
        <w:rPr>
          <w:rFonts w:hint="eastAsia" w:ascii="Times New Roman Bold" w:hAnsi="Times New Roman Bold" w:eastAsia="宋体" w:cs="Times New Roman Bold"/>
          <w:b/>
          <w:bCs/>
          <w:lang w:val="en-US" w:eastAsia="zh-CN"/>
        </w:rPr>
        <w:t>Observation 1: The current UE capability on totalNumberPortsSimultaneousNZP-CSI-RS-PerCC provides enough room to support NES feature.</w:t>
      </w:r>
    </w:p>
    <w:p>
      <w:pPr>
        <w:rPr>
          <w:rFonts w:hint="default"/>
          <w:bCs/>
          <w:lang w:val="en-US" w:eastAsia="zh-CN"/>
        </w:rPr>
      </w:pPr>
      <w:r>
        <w:rPr>
          <w:rFonts w:hint="default"/>
          <w:lang w:val="en-US"/>
        </w:rPr>
        <w:t>It should also be noted that in the WI objective, it is explicitly mentioned under the spatial and power domain techniques, that “</w:t>
      </w:r>
      <w:r>
        <w:rPr>
          <w:bCs/>
          <w:lang w:val="en-US" w:eastAsia="zh-CN"/>
        </w:rPr>
        <w:t>Legacy UE CSI/CSI-RS capabilities applies when considering total number of CSI reports and requirements</w:t>
      </w:r>
      <w:r>
        <w:rPr>
          <w:rFonts w:hint="default"/>
          <w:bCs/>
          <w:lang w:val="en-US" w:eastAsia="zh-CN"/>
        </w:rPr>
        <w:t>.”</w:t>
      </w:r>
    </w:p>
    <w:p>
      <w:pPr>
        <w:rPr>
          <w:rFonts w:hint="default"/>
          <w:lang w:val="en-US"/>
        </w:rPr>
      </w:pPr>
      <w:r>
        <w:rPr>
          <w:rFonts w:hint="default"/>
          <w:bCs/>
          <w:lang w:val="en-US" w:eastAsia="zh-CN"/>
        </w:rPr>
        <w:t>Therefore, we propose the following</w:t>
      </w:r>
      <w:r>
        <w:rPr>
          <w:rFonts w:hint="eastAsia"/>
          <w:bCs/>
          <w:lang w:val="en-US" w:eastAsia="zh-CN"/>
        </w:rPr>
        <w:t>:</w:t>
      </w:r>
    </w:p>
    <w:p>
      <w:pPr>
        <w:rPr>
          <w:rFonts w:hint="eastAsia" w:ascii="Times New Roman Bold" w:hAnsi="Times New Roman Bold" w:eastAsia="宋体" w:cs="Times New Roman Bold"/>
          <w:b/>
          <w:bCs/>
          <w:lang w:val="en-US" w:eastAsia="zh-CN"/>
        </w:rPr>
      </w:pPr>
      <w:r>
        <w:rPr>
          <w:rFonts w:hint="default" w:ascii="Times New Roman Bold" w:hAnsi="Times New Roman Bold" w:cs="Times New Roman Bold"/>
          <w:b/>
          <w:bCs/>
          <w:lang w:val="en-US"/>
        </w:rPr>
        <w:t xml:space="preserve">Proposal 1: For active CSI-RS ports counting agreement, clarify that for AP CSI-RS, X sub-configurations corresponds to the N activated sub-configurations, and for P/SP CSI-RS, X sub-configurations correspond to the L configured sub-configurations. </w:t>
      </w:r>
      <w:r>
        <w:rPr>
          <w:rFonts w:hint="eastAsia" w:ascii="Times New Roman Bold" w:hAnsi="Times New Roman Bold" w:eastAsia="宋体" w:cs="Times New Roman Bold"/>
          <w:b/>
          <w:bCs/>
          <w:lang w:val="en-US" w:eastAsia="zh-CN"/>
        </w:rPr>
        <w:t xml:space="preserve"> </w:t>
      </w:r>
    </w:p>
    <w:p>
      <w:pPr>
        <w:rPr>
          <w:rFonts w:hint="default" w:ascii="Times New Roman Bold" w:hAnsi="Times New Roman Bold" w:eastAsia="宋体" w:cs="Times New Roman Bold"/>
          <w:b/>
          <w:bCs/>
          <w:lang w:val="en-US" w:eastAsia="zh-CN"/>
        </w:rPr>
      </w:pPr>
      <w:r>
        <w:rPr>
          <w:rFonts w:hint="eastAsia" w:ascii="Times New Roman Bold" w:hAnsi="Times New Roman Bold" w:eastAsia="宋体" w:cs="Times New Roman Bold"/>
          <w:b/>
          <w:bCs/>
          <w:lang w:val="en-US" w:eastAsia="zh-CN"/>
        </w:rPr>
        <w:t xml:space="preserve">Proposal 2: Current UE capabilities </w:t>
      </w:r>
      <w:r>
        <w:rPr>
          <w:rFonts w:hint="default" w:ascii="Times New Roman Bold" w:hAnsi="Times New Roman Bold" w:eastAsia="宋体" w:cs="Times New Roman Bold"/>
          <w:b/>
          <w:bCs/>
          <w:lang w:val="en-US" w:eastAsia="zh-CN"/>
        </w:rPr>
        <w:t xml:space="preserve">should </w:t>
      </w:r>
      <w:r>
        <w:rPr>
          <w:rFonts w:hint="eastAsia" w:ascii="Times New Roman Bold" w:hAnsi="Times New Roman Bold" w:eastAsia="宋体" w:cs="Times New Roman Bold"/>
          <w:b/>
          <w:bCs/>
          <w:lang w:val="en-US" w:eastAsia="zh-CN"/>
        </w:rPr>
        <w:t xml:space="preserve">be maintained to support NES feature. </w:t>
      </w:r>
    </w:p>
    <w:p>
      <w:pPr>
        <w:pStyle w:val="2"/>
        <w:jc w:val="both"/>
      </w:pPr>
      <w:r>
        <w:rPr>
          <w:rFonts w:hint="default"/>
        </w:rPr>
        <w:t xml:space="preserve"> CSI </w:t>
      </w:r>
      <w:r>
        <w:rPr>
          <w:rFonts w:hint="default"/>
          <w:lang w:val="en-US"/>
        </w:rPr>
        <w:t xml:space="preserve">omission </w:t>
      </w:r>
    </w:p>
    <w:p>
      <w:pPr>
        <w:jc w:val="both"/>
        <w:rPr>
          <w:rFonts w:hint="default"/>
          <w:b w:val="0"/>
          <w:bCs w:val="0"/>
          <w:sz w:val="20"/>
          <w:szCs w:val="20"/>
          <w:lang w:val="en-US"/>
        </w:rPr>
      </w:pPr>
      <w:r>
        <w:rPr>
          <w:rFonts w:hint="default"/>
          <w:b w:val="0"/>
          <w:bCs w:val="0"/>
          <w:sz w:val="20"/>
          <w:szCs w:val="20"/>
          <w:lang w:val="en-US"/>
        </w:rPr>
        <w:t xml:space="preserve">In last RAN1 meeting, regarding the CSI mapping and omission rule, there were some agreements made on that the mapping across sub-configuration should follow legacy principle. However, for the CSI omission, it was not crystal clear especially for different CSI parts. We discuss on the omission part here.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szCs w:val="20"/>
                <w:highlight w:val="green"/>
              </w:rPr>
            </w:pPr>
            <w:r>
              <w:rPr>
                <w:b/>
                <w:bCs/>
                <w:szCs w:val="20"/>
                <w:highlight w:val="green"/>
              </w:rPr>
              <w:t>Agreement</w:t>
            </w:r>
          </w:p>
          <w:p>
            <w:pPr>
              <w:tabs>
                <w:tab w:val="left" w:pos="1440"/>
              </w:tabs>
              <w:rPr>
                <w:bCs/>
                <w:iCs/>
                <w:lang w:eastAsia="zh-CN"/>
              </w:rPr>
            </w:pPr>
            <w:r>
              <w:rPr>
                <w:bCs/>
                <w:iCs/>
                <w:lang w:eastAsia="zh-CN"/>
              </w:rPr>
              <w:t xml:space="preserve">For N(&gt;1) CSIs reporting with multiple sub-configurations without payload/complexity reduction, </w:t>
            </w:r>
          </w:p>
          <w:p>
            <w:pPr>
              <w:pStyle w:val="47"/>
              <w:numPr>
                <w:ilvl w:val="0"/>
                <w:numId w:val="5"/>
              </w:numPr>
              <w:tabs>
                <w:tab w:val="left" w:pos="800"/>
              </w:tabs>
              <w:ind w:left="800" w:leftChars="0" w:hanging="440" w:firstLineChars="0"/>
              <w:jc w:val="both"/>
              <w:rPr>
                <w:snapToGrid w:val="0"/>
                <w:lang w:eastAsia="zh-CN"/>
              </w:rPr>
            </w:pPr>
            <w:r>
              <w:rPr>
                <w:snapToGrid w:val="0"/>
                <w:lang w:eastAsia="zh-CN"/>
              </w:rPr>
              <w:t>Each CSI can be a single-part, or two-part CSI, and contains the same types of CSI parameters/quantities as legacy, when applicable/if reported;</w:t>
            </w:r>
          </w:p>
          <w:p>
            <w:pPr>
              <w:pStyle w:val="47"/>
              <w:numPr>
                <w:ilvl w:val="0"/>
                <w:numId w:val="5"/>
              </w:numPr>
              <w:tabs>
                <w:tab w:val="left" w:pos="800"/>
              </w:tabs>
              <w:ind w:left="800" w:leftChars="0" w:hanging="440" w:firstLineChars="0"/>
              <w:jc w:val="both"/>
              <w:rPr>
                <w:snapToGrid w:val="0"/>
                <w:lang w:eastAsia="zh-CN"/>
              </w:rPr>
            </w:pPr>
            <w:r>
              <w:rPr>
                <w:snapToGrid w:val="0"/>
                <w:lang w:eastAsia="zh-CN"/>
              </w:rPr>
              <w:t>The mapping order of CSI fields of one sub-configuration is as legacy mapping order of CSI fields of one CSI report;</w:t>
            </w:r>
          </w:p>
          <w:p>
            <w:pPr>
              <w:pStyle w:val="47"/>
              <w:numPr>
                <w:ilvl w:val="0"/>
                <w:numId w:val="5"/>
              </w:numPr>
              <w:tabs>
                <w:tab w:val="left" w:pos="800"/>
              </w:tabs>
              <w:ind w:left="800" w:leftChars="0" w:hanging="440" w:firstLineChars="0"/>
              <w:jc w:val="both"/>
              <w:rPr>
                <w:snapToGrid w:val="0"/>
                <w:lang w:eastAsia="zh-CN"/>
              </w:rPr>
            </w:pPr>
            <w:r>
              <w:rPr>
                <w:snapToGrid w:val="0"/>
                <w:lang w:eastAsia="zh-CN"/>
              </w:rPr>
              <w:t>Part 2 CSI priority reporting level follows wideband CSI first, then even subband CSI and odd subband CSI;</w:t>
            </w:r>
          </w:p>
          <w:p>
            <w:pPr>
              <w:tabs>
                <w:tab w:val="left" w:pos="1440"/>
              </w:tabs>
              <w:rPr>
                <w:b/>
                <w:bCs/>
                <w:szCs w:val="20"/>
                <w:highlight w:val="green"/>
              </w:rPr>
            </w:pPr>
            <w:r>
              <w:rPr>
                <w:b/>
                <w:bCs/>
                <w:szCs w:val="20"/>
                <w:highlight w:val="green"/>
              </w:rPr>
              <w:t>Agreement</w:t>
            </w:r>
          </w:p>
          <w:p>
            <w:pPr>
              <w:tabs>
                <w:tab w:val="left" w:pos="1440"/>
              </w:tabs>
              <w:rPr>
                <w:snapToGrid w:val="0"/>
                <w:lang w:eastAsia="zh-CN"/>
              </w:rPr>
            </w:pPr>
            <w:r>
              <w:rPr>
                <w:snapToGrid w:val="0"/>
                <w:lang w:eastAsia="zh-CN"/>
              </w:rPr>
              <w:t>Down-select from the below for priority rule determination for CSI reporting of multiple sub-configurations</w:t>
            </w:r>
          </w:p>
          <w:p>
            <w:pPr>
              <w:pStyle w:val="47"/>
              <w:numPr>
                <w:ilvl w:val="0"/>
                <w:numId w:val="4"/>
              </w:numPr>
              <w:ind w:leftChars="0"/>
              <w:jc w:val="both"/>
              <w:rPr>
                <w:snapToGrid w:val="0"/>
                <w:lang w:eastAsia="zh-CN"/>
              </w:rPr>
            </w:pPr>
            <w:r>
              <w:rPr>
                <w:snapToGrid w:val="0"/>
                <w:lang w:eastAsia="zh-CN"/>
              </w:rPr>
              <w:t>Option 1: The priority of the CSI report containing CSIs for multiple sub-configurations, is determined according to the clause 5.2.5 of TS 38.214.</w:t>
            </w:r>
          </w:p>
          <w:p>
            <w:pPr>
              <w:pStyle w:val="47"/>
              <w:numPr>
                <w:ilvl w:val="1"/>
                <w:numId w:val="4"/>
              </w:numPr>
              <w:tabs>
                <w:tab w:val="left" w:pos="1440"/>
              </w:tabs>
              <w:ind w:leftChars="0"/>
              <w:jc w:val="both"/>
              <w:rPr>
                <w:snapToGrid w:val="0"/>
                <w:lang w:eastAsia="zh-CN"/>
              </w:rPr>
            </w:pPr>
            <w:r>
              <w:rPr>
                <w:snapToGrid w:val="0"/>
                <w:lang w:eastAsia="zh-CN"/>
              </w:rPr>
              <w:t xml:space="preserve">1-b) A sub-configuration level priority is determined by the order of </w:t>
            </w:r>
            <w:r>
              <w:rPr>
                <w:snapToGrid w:val="0"/>
                <w:color w:val="000000" w:themeColor="text1"/>
                <w:lang w:eastAsia="zh-CN"/>
                <w14:textFill>
                  <w14:solidFill>
                    <w14:schemeClr w14:val="tx1"/>
                  </w14:solidFill>
                </w14:textFill>
              </w:rPr>
              <w:t>sub-configuration index</w:t>
            </w:r>
            <w:r>
              <w:rPr>
                <w:snapToGrid w:val="0"/>
                <w:lang w:eastAsia="zh-CN"/>
              </w:rPr>
              <w:t xml:space="preserve">. </w:t>
            </w:r>
            <w:r>
              <w:rPr>
                <w:rFonts w:hint="eastAsia"/>
                <w:snapToGrid w:val="0"/>
                <w:lang w:eastAsia="zh-CN"/>
              </w:rPr>
              <w:t>F</w:t>
            </w:r>
            <w:r>
              <w:rPr>
                <w:snapToGrid w:val="0"/>
                <w:lang w:eastAsia="zh-CN"/>
              </w:rPr>
              <w:t>or Part 2 CSI corresponding to each sub-configuration, omission is at subConfig level. Follow legacy dropping rules for a CSI report containing multiple CSIs.</w:t>
            </w:r>
          </w:p>
          <w:p>
            <w:pPr>
              <w:pStyle w:val="47"/>
              <w:numPr>
                <w:ilvl w:val="2"/>
                <w:numId w:val="4"/>
              </w:numPr>
              <w:tabs>
                <w:tab w:val="left" w:pos="1440"/>
              </w:tabs>
              <w:ind w:leftChars="0"/>
              <w:jc w:val="both"/>
              <w:rPr>
                <w:snapToGrid w:val="0"/>
                <w:lang w:eastAsia="zh-CN"/>
              </w:rPr>
            </w:pPr>
            <w:r>
              <w:rPr>
                <w:snapToGrid w:val="0"/>
                <w:lang w:eastAsia="zh-CN"/>
              </w:rPr>
              <w:t>CSI mapping rule across sub-configurations follow legacy specification principle</w:t>
            </w:r>
          </w:p>
          <w:p>
            <w:pPr>
              <w:pStyle w:val="47"/>
              <w:numPr>
                <w:ilvl w:val="2"/>
                <w:numId w:val="4"/>
              </w:numPr>
              <w:tabs>
                <w:tab w:val="left" w:pos="1440"/>
              </w:tabs>
              <w:ind w:leftChars="0"/>
              <w:jc w:val="both"/>
              <w:rPr>
                <w:snapToGrid w:val="0"/>
                <w:lang w:eastAsia="zh-CN"/>
              </w:rPr>
            </w:pPr>
            <w:r>
              <w:rPr>
                <w:snapToGrid w:val="0"/>
                <w:lang w:eastAsia="zh-CN"/>
              </w:rPr>
              <w:t>Sub-configuration index with lower value has higher priority</w:t>
            </w:r>
          </w:p>
          <w:p>
            <w:pPr>
              <w:pStyle w:val="47"/>
              <w:numPr>
                <w:ilvl w:val="2"/>
                <w:numId w:val="4"/>
              </w:numPr>
              <w:tabs>
                <w:tab w:val="left" w:pos="1440"/>
              </w:tabs>
              <w:ind w:leftChars="0"/>
              <w:jc w:val="both"/>
              <w:rPr>
                <w:snapToGrid w:val="0"/>
                <w:lang w:eastAsia="zh-CN"/>
              </w:rPr>
            </w:pPr>
            <w:r>
              <w:rPr>
                <w:snapToGrid w:val="0"/>
                <w:lang w:eastAsia="zh-CN"/>
              </w:rPr>
              <w:t>Sub-configuration index is configured in CSI report config</w:t>
            </w:r>
          </w:p>
          <w:p>
            <w:pPr>
              <w:tabs>
                <w:tab w:val="left" w:pos="1440"/>
              </w:tabs>
              <w:ind w:left="0" w:leftChars="0" w:firstLine="0" w:firstLineChars="0"/>
              <w:rPr>
                <w:b/>
                <w:bCs/>
                <w:snapToGrid w:val="0"/>
                <w:szCs w:val="20"/>
                <w:highlight w:val="green"/>
                <w:lang w:eastAsia="zh-CN"/>
              </w:rPr>
            </w:pPr>
            <w:r>
              <w:rPr>
                <w:b/>
                <w:bCs/>
                <w:snapToGrid w:val="0"/>
                <w:szCs w:val="20"/>
                <w:highlight w:val="green"/>
                <w:lang w:eastAsia="zh-CN"/>
              </w:rPr>
              <w:t>Agreement</w:t>
            </w:r>
          </w:p>
          <w:p>
            <w:pPr>
              <w:tabs>
                <w:tab w:val="left" w:pos="1440"/>
              </w:tabs>
              <w:rPr>
                <w:bCs/>
                <w:iCs/>
                <w:lang w:eastAsia="zh-CN"/>
              </w:rPr>
            </w:pPr>
            <w:r>
              <w:rPr>
                <w:bCs/>
                <w:iCs/>
                <w:lang w:eastAsia="zh-CN"/>
              </w:rPr>
              <w:t>For CSIs across multiple sub-configurations in one CSI reportConfig map different sub-configurations based on RAN1#114 agreement in 9.7.1</w:t>
            </w:r>
          </w:p>
          <w:p>
            <w:pPr>
              <w:pStyle w:val="47"/>
              <w:numPr>
                <w:ilvl w:val="0"/>
                <w:numId w:val="4"/>
              </w:numPr>
              <w:tabs>
                <w:tab w:val="left" w:pos="600"/>
              </w:tabs>
              <w:ind w:left="600" w:leftChars="0" w:hanging="240" w:firstLineChars="0"/>
              <w:jc w:val="both"/>
              <w:rPr>
                <w:rFonts w:hint="default" w:ascii="Times New Roman Regular" w:hAnsi="Times New Roman Regular" w:cs="Times New Roman Regular"/>
                <w:snapToGrid w:val="0"/>
                <w:szCs w:val="20"/>
                <w:lang w:eastAsia="zh-CN"/>
              </w:rPr>
            </w:pPr>
            <w:r>
              <w:rPr>
                <w:rFonts w:hint="default" w:ascii="Times New Roman Regular" w:hAnsi="Times New Roman Regular" w:cs="Times New Roman Regular"/>
                <w:szCs w:val="20"/>
                <w:lang w:eastAsia="ko-KR"/>
              </w:rPr>
              <w:t>For Part 2 priority reporting level</w:t>
            </w:r>
          </w:p>
          <w:p>
            <w:pPr>
              <w:pStyle w:val="47"/>
              <w:widowControl w:val="0"/>
              <w:numPr>
                <w:ilvl w:val="1"/>
                <w:numId w:val="4"/>
              </w:numPr>
              <w:tabs>
                <w:tab w:val="left" w:pos="1440"/>
              </w:tabs>
              <w:autoSpaceDE w:val="0"/>
              <w:autoSpaceDN w:val="0"/>
              <w:adjustRightInd w:val="0"/>
              <w:ind w:leftChars="0"/>
              <w:contextualSpacing/>
              <w:rPr>
                <w:rFonts w:hint="default"/>
                <w:b w:val="0"/>
                <w:bCs w:val="0"/>
                <w:sz w:val="22"/>
                <w:szCs w:val="22"/>
                <w:vertAlign w:val="baseline"/>
                <w:lang w:val="en-US"/>
              </w:rPr>
            </w:pPr>
            <w:r>
              <w:rPr>
                <w:rFonts w:hint="default" w:ascii="Times New Roman Regular" w:hAnsi="Times New Roman Regular" w:cs="Times New Roman Regular"/>
                <w:szCs w:val="20"/>
                <w:lang w:eastAsia="ko-KR"/>
              </w:rPr>
              <w:t>Option 1: for a given band type from {wideband, even subband, odd subband}, the omission order follows the priority order determined by sub-configuration index</w:t>
            </w:r>
            <w:r>
              <w:rPr>
                <w:rFonts w:ascii="Cambria Math" w:hAnsi="Cambria Math"/>
                <w:szCs w:val="20"/>
                <w:lang w:eastAsia="ko-KR"/>
              </w:rPr>
              <w:t xml:space="preserve"> </w:t>
            </w:r>
          </w:p>
        </w:tc>
      </w:tr>
    </w:tbl>
    <w:p>
      <w:pPr>
        <w:jc w:val="both"/>
        <w:rPr>
          <w:rFonts w:hint="default"/>
          <w:b w:val="0"/>
          <w:bCs w:val="0"/>
          <w:sz w:val="22"/>
          <w:szCs w:val="22"/>
          <w:lang w:val="en-US"/>
        </w:rPr>
      </w:pPr>
    </w:p>
    <w:p>
      <w:pPr>
        <w:jc w:val="both"/>
        <w:rPr>
          <w:rFonts w:hint="default"/>
          <w:b w:val="0"/>
          <w:bCs w:val="0"/>
          <w:sz w:val="20"/>
          <w:szCs w:val="20"/>
          <w:lang w:val="en-US"/>
        </w:rPr>
      </w:pPr>
      <w:r>
        <w:rPr>
          <w:rFonts w:hint="default"/>
          <w:b w:val="0"/>
          <w:bCs w:val="0"/>
          <w:sz w:val="20"/>
          <w:szCs w:val="20"/>
          <w:lang w:val="en-US"/>
        </w:rPr>
        <w:t xml:space="preserve">From UE point of view, treating each sub-configuration as a legacy CSI report, map them and omit them as if they were a legacy CSI report provides the most straight forward solution. </w:t>
      </w:r>
    </w:p>
    <w:p>
      <w:pPr>
        <w:jc w:val="both"/>
        <w:rPr>
          <w:rFonts w:hint="default"/>
          <w:b w:val="0"/>
          <w:bCs w:val="0"/>
          <w:sz w:val="20"/>
          <w:szCs w:val="20"/>
          <w:lang w:val="en-US"/>
        </w:rPr>
      </w:pPr>
      <w:r>
        <w:rPr>
          <w:rFonts w:hint="default"/>
          <w:b w:val="0"/>
          <w:bCs w:val="0"/>
          <w:sz w:val="20"/>
          <w:szCs w:val="20"/>
          <w:lang w:val="en-US"/>
        </w:rPr>
        <w:t>In legacy, for CSI reporting on PUSCH, only Part 2 is omitted, however, for CSI reporting on PUCCH, Part 1 can also be omitted when all CSI reports consist of one part. For NES CSI reporting consisting of multiple sub-configurations, it would be consistent to also allow omission of CSI part 1 by sub-configuration level. Furthermore, if the CSI part 1 on PUCCH is only partially omitted, it would be provide network more flexibility in PUCCH resource allocation.</w:t>
      </w: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3: For CSI reporting on PUSCH, and when all CSI reports consist of one part,  CSI part 1 can be omitted in sub-configuration level.</w:t>
      </w:r>
    </w:p>
    <w:p>
      <w:pPr>
        <w:jc w:val="both"/>
        <w:rPr>
          <w:rFonts w:hint="default"/>
          <w:b w:val="0"/>
          <w:bCs w:val="0"/>
          <w:sz w:val="20"/>
          <w:szCs w:val="20"/>
          <w:lang w:val="en-US"/>
        </w:rPr>
      </w:pPr>
    </w:p>
    <w:p>
      <w:pPr>
        <w:jc w:val="both"/>
        <w:rPr>
          <w:rFonts w:hint="default"/>
          <w:b w:val="0"/>
          <w:bCs w:val="0"/>
          <w:sz w:val="20"/>
          <w:szCs w:val="20"/>
          <w:lang w:val="en-US"/>
        </w:rPr>
      </w:pPr>
      <w:r>
        <w:rPr>
          <w:rFonts w:hint="default"/>
          <w:b w:val="0"/>
          <w:bCs w:val="0"/>
          <w:sz w:val="20"/>
          <w:szCs w:val="20"/>
          <w:lang w:val="en-US"/>
        </w:rPr>
        <w:t>-----------------------------------------------------------Text proposal -----------------------------------------------------------</w:t>
      </w:r>
    </w:p>
    <w:p>
      <w:pPr>
        <w:pStyle w:val="4"/>
        <w:numPr>
          <w:ilvl w:val="2"/>
          <w:numId w:val="0"/>
        </w:numPr>
        <w:ind w:leftChars="0"/>
        <w:rPr>
          <w:rFonts w:hint="default"/>
          <w:color w:val="000000"/>
          <w:sz w:val="24"/>
          <w:szCs w:val="24"/>
          <w:lang w:val="en-US"/>
        </w:rPr>
      </w:pPr>
      <w:bookmarkStart w:id="2" w:name="_Toc45810601"/>
      <w:bookmarkStart w:id="3" w:name="_Toc11352133"/>
      <w:bookmarkStart w:id="4" w:name="_Toc29674326"/>
      <w:bookmarkStart w:id="5" w:name="_Toc27299921"/>
      <w:bookmarkStart w:id="6" w:name="_Toc20318023"/>
      <w:bookmarkStart w:id="7" w:name="_Toc36645556"/>
      <w:bookmarkStart w:id="8" w:name="_Toc29673333"/>
      <w:bookmarkStart w:id="9" w:name="_Toc130409803"/>
      <w:bookmarkStart w:id="10" w:name="_Toc29673192"/>
      <w:r>
        <w:rPr>
          <w:rFonts w:hint="default"/>
          <w:color w:val="000000"/>
          <w:sz w:val="24"/>
          <w:szCs w:val="24"/>
          <w:lang w:val="en-US"/>
        </w:rPr>
        <w:t>TS38.214</w:t>
      </w:r>
    </w:p>
    <w:p>
      <w:pPr>
        <w:pStyle w:val="4"/>
        <w:numPr>
          <w:ilvl w:val="2"/>
          <w:numId w:val="0"/>
        </w:numPr>
        <w:ind w:leftChars="0"/>
        <w:rPr>
          <w:color w:val="000000"/>
        </w:rPr>
      </w:pPr>
      <w:r>
        <w:rPr>
          <w:color w:val="000000"/>
        </w:rPr>
        <w:t>5.2.4</w:t>
      </w:r>
      <w:r>
        <w:rPr>
          <w:color w:val="000000"/>
        </w:rPr>
        <w:tab/>
      </w:r>
      <w:r>
        <w:rPr>
          <w:color w:val="000000"/>
        </w:rPr>
        <w:t>CSI reporting using PUCCH</w:t>
      </w:r>
      <w:bookmarkEnd w:id="2"/>
      <w:bookmarkEnd w:id="3"/>
      <w:bookmarkEnd w:id="4"/>
      <w:bookmarkEnd w:id="5"/>
      <w:bookmarkEnd w:id="6"/>
      <w:bookmarkEnd w:id="7"/>
      <w:bookmarkEnd w:id="8"/>
      <w:bookmarkEnd w:id="9"/>
      <w:bookmarkEnd w:id="10"/>
    </w:p>
    <w:p>
      <w:pPr>
        <w:rPr>
          <w:color w:val="FF0000"/>
          <w:highlight w:val="yellow"/>
        </w:rPr>
      </w:pPr>
      <w:r>
        <w:rPr>
          <w:color w:val="000000"/>
          <w:lang w:val="en-AU"/>
        </w:rPr>
        <w:t>A UE is not expected to report CSI with a total number of UCI bits and CRC bits larger than 115 bits when configured with PUCCH format 4.</w:t>
      </w:r>
      <w:r>
        <w:rPr>
          <w:color w:val="000000"/>
          <w:highlight w:val="none"/>
          <w:lang w:val="en-AU"/>
        </w:rPr>
        <w:t xml:space="preserve"> </w:t>
      </w:r>
      <w:r>
        <w:rPr>
          <w:highlight w:val="none"/>
        </w:rPr>
        <w:t>For CSI reports transmitted on a PUCCH, if all CSI reports consist of one part, the UE may omit a portion of CSI reports. Omission of CSI is according to the priority order determined from the Pri</w:t>
      </w:r>
      <w:r>
        <w:rPr>
          <w:highlight w:val="none"/>
          <w:vertAlign w:val="subscript"/>
        </w:rPr>
        <w:t>i,CSI</w:t>
      </w:r>
      <w:r>
        <w:rPr>
          <w:highlight w:val="none"/>
        </w:rPr>
        <w:t>(</w:t>
      </w:r>
      <w:r>
        <w:rPr>
          <w:i/>
          <w:highlight w:val="none"/>
        </w:rPr>
        <w:t>y,k,c,s</w:t>
      </w:r>
      <w:r>
        <w:rPr>
          <w:highlight w:val="none"/>
        </w:rPr>
        <w:t xml:space="preserve">) value as defined in Clause 5.2.5. CSI report is omitted beginning with the lowest priority level until the CSI report code rate is less or equal to the one configured by the </w:t>
      </w:r>
      <w:r>
        <w:rPr>
          <w:rFonts w:hint="eastAsia"/>
          <w:highlight w:val="none"/>
        </w:rPr>
        <w:t xml:space="preserve">higher layer parameter </w:t>
      </w:r>
      <w:r>
        <w:rPr>
          <w:i/>
          <w:highlight w:val="none"/>
        </w:rPr>
        <w:t>maxCodeRate</w:t>
      </w:r>
      <w:r>
        <w:rPr>
          <w:highlight w:val="none"/>
        </w:rPr>
        <w:t>.</w:t>
      </w:r>
      <w:r>
        <w:rPr>
          <w:rFonts w:hint="default"/>
          <w:color w:val="FF0000"/>
          <w:highlight w:val="none"/>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pPr>
        <w:jc w:val="both"/>
        <w:rPr>
          <w:rFonts w:hint="default"/>
          <w:b w:val="0"/>
          <w:bCs w:val="0"/>
          <w:sz w:val="20"/>
          <w:szCs w:val="20"/>
          <w:lang w:val="en-US"/>
        </w:rPr>
      </w:pPr>
      <w:r>
        <w:rPr>
          <w:rFonts w:hint="default"/>
          <w:b w:val="0"/>
          <w:bCs w:val="0"/>
          <w:sz w:val="20"/>
          <w:szCs w:val="20"/>
          <w:lang w:val="en-US"/>
        </w:rPr>
        <w:t>-------------------------------------------------------End of Text proposal ------------------------------------------------------</w:t>
      </w:r>
    </w:p>
    <w:p>
      <w:pPr>
        <w:pStyle w:val="2"/>
        <w:jc w:val="both"/>
      </w:pPr>
      <w:r>
        <w:rPr>
          <w:rFonts w:hint="default"/>
          <w:lang w:val="en-US"/>
        </w:rPr>
        <w:t xml:space="preserve"> Supported codebook type</w:t>
      </w:r>
    </w:p>
    <w:p>
      <w:pPr>
        <w:jc w:val="both"/>
        <w:rPr>
          <w:rFonts w:hint="default"/>
          <w:lang w:val="en-US"/>
        </w:rPr>
      </w:pPr>
      <w:r>
        <w:t xml:space="preserve">In RAN1 #113, </w:t>
      </w:r>
      <w:r>
        <w:rPr>
          <w:rFonts w:hint="eastAsia"/>
          <w:lang w:val="en-US" w:eastAsia="zh-CN"/>
        </w:rPr>
        <w:t>it w</w:t>
      </w:r>
      <w:r>
        <w:rPr>
          <w:rFonts w:hint="default"/>
          <w:lang w:val="en-US" w:eastAsia="zh-CN"/>
        </w:rPr>
        <w:t xml:space="preserve">as agreed that </w:t>
      </w:r>
      <w:r>
        <w:t>only Type I codebook is used for Type 1 SD adaptation (with bitmap for port subset indication) as shown below. There was no discussion on which types of codebook are used for Type 2 SD adaptation (without bitmap for port subset indication). If other codebook types (e.g. Type II, eTypeII, FeTypeII, etc) are supported for Type 2 SD adaptation</w:t>
      </w:r>
      <w:r>
        <w:rPr>
          <w:rFonts w:hint="default"/>
          <w:lang w:val="en-US"/>
        </w:rPr>
        <w:t xml:space="preserve"> or PD</w:t>
      </w:r>
      <w:r>
        <w:t>, this should be also reflected in reporting UE capabilities</w:t>
      </w:r>
      <w:r>
        <w:rPr>
          <w:rFonts w:hint="default"/>
          <w:lang w:val="en-US"/>
        </w:rPr>
        <w:t>, which complicates the feature</w:t>
      </w:r>
      <w:r>
        <w:t xml:space="preserve">. Due to lack of discussion, we propose to support only Type I codebook for Type 2 SD </w:t>
      </w:r>
      <w:r>
        <w:rPr>
          <w:rFonts w:hint="default"/>
          <w:lang w:val="en-US"/>
        </w:rPr>
        <w:t xml:space="preserve">and PD </w:t>
      </w:r>
      <w:r>
        <w:t>adaptation as well.</w:t>
      </w:r>
      <w:r>
        <w:rPr>
          <w:rFonts w:hint="default"/>
          <w:lang w:val="en-US"/>
        </w:rPr>
        <w:tab/>
      </w:r>
    </w:p>
    <w:p>
      <w:pPr>
        <w:jc w:val="both"/>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spacing w:before="100" w:beforeAutospacing="1" w:after="100" w:afterAutospacing="1"/>
              <w:ind w:left="1440" w:hanging="1440"/>
              <w:rPr>
                <w:rFonts w:ascii="Times" w:hAnsi="Times" w:cs="Times"/>
                <w:color w:val="000000"/>
                <w:sz w:val="21"/>
                <w:szCs w:val="21"/>
              </w:rPr>
            </w:pPr>
            <w:r>
              <w:rPr>
                <w:rFonts w:ascii="Times" w:hAnsi="Times" w:cs="Times"/>
                <w:b/>
                <w:bCs/>
                <w:color w:val="000000"/>
                <w:sz w:val="21"/>
                <w:szCs w:val="21"/>
                <w:shd w:val="clear" w:color="auto" w:fill="00FF00"/>
              </w:rPr>
              <w:t>Agreement</w:t>
            </w:r>
          </w:p>
          <w:p>
            <w:pPr>
              <w:spacing w:before="100" w:beforeAutospacing="1" w:after="100" w:afterAutospacing="1"/>
              <w:ind w:left="1440" w:hanging="1440"/>
              <w:rPr>
                <w:rFonts w:ascii="Times" w:hAnsi="Times" w:cs="Times"/>
                <w:color w:val="000000"/>
                <w:sz w:val="21"/>
                <w:szCs w:val="21"/>
              </w:rPr>
            </w:pPr>
            <w:r>
              <w:rPr>
                <w:rFonts w:ascii="Times" w:hAnsi="Times" w:cs="Times"/>
                <w:color w:val="000000"/>
                <w:sz w:val="21"/>
                <w:szCs w:val="21"/>
              </w:rPr>
              <w:t>For a CSI report configuration with L&gt;1, for Type 1 SD, at least when A1-2-revised is used for the associated codebook configuration, </w:t>
            </w:r>
          </w:p>
          <w:p>
            <w:pPr>
              <w:spacing w:before="100" w:beforeAutospacing="1" w:after="100" w:afterAutospacing="1"/>
              <w:ind w:left="720" w:hanging="360"/>
              <w:rPr>
                <w:rFonts w:ascii="Helvetica" w:hAnsi="Helvetica"/>
                <w:color w:val="000000"/>
                <w:sz w:val="21"/>
                <w:szCs w:val="21"/>
              </w:rPr>
            </w:pPr>
            <w:r>
              <w:rPr>
                <w:rFonts w:ascii="Wingdings" w:hAnsi="Wingdings"/>
                <w:color w:val="000000"/>
                <w:sz w:val="21"/>
                <w:szCs w:val="21"/>
              </w:rPr>
              <w:t>§ </w:t>
            </w:r>
            <w:r>
              <w:rPr>
                <w:rFonts w:ascii="Times" w:hAnsi="Times" w:cs="Times"/>
                <w:color w:val="000000"/>
                <w:sz w:val="21"/>
                <w:szCs w:val="21"/>
              </w:rPr>
              <w:t>Only common codebook type for PMI across sub-configurations is supported</w:t>
            </w:r>
          </w:p>
          <w:p>
            <w:pPr>
              <w:spacing w:before="100" w:beforeAutospacing="1" w:after="100" w:afterAutospacing="1"/>
              <w:ind w:left="1440" w:hanging="360"/>
            </w:pPr>
            <w:r>
              <w:rPr>
                <w:rFonts w:ascii="Courier New" w:hAnsi="Courier New" w:cs="Courier New"/>
                <w:color w:val="000000"/>
                <w:sz w:val="21"/>
                <w:szCs w:val="21"/>
              </w:rPr>
              <w:t>o </w:t>
            </w:r>
            <w:r>
              <w:rPr>
                <w:rFonts w:ascii="Times" w:hAnsi="Times" w:cs="Times"/>
                <w:color w:val="000000"/>
                <w:sz w:val="21"/>
                <w:szCs w:val="21"/>
              </w:rPr>
              <w:t>Codebook type-1 for PMI is supported</w:t>
            </w:r>
          </w:p>
        </w:tc>
      </w:tr>
    </w:tbl>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4: Only codebook type-1 is supported for NES including Type 1SD, Type 2 SD and PD adaptation.</w:t>
      </w:r>
    </w:p>
    <w:p>
      <w:pPr>
        <w:pStyle w:val="2"/>
        <w:jc w:val="both"/>
      </w:pPr>
      <w:r>
        <w:rPr>
          <w:rFonts w:hint="default"/>
          <w:lang w:val="en-US"/>
        </w:rPr>
        <w:t xml:space="preserve"> RRC parameters</w:t>
      </w:r>
    </w:p>
    <w:p>
      <w:pPr>
        <w:overflowPunct w:val="0"/>
        <w:autoSpaceDE w:val="0"/>
        <w:autoSpaceDN w:val="0"/>
        <w:adjustRightInd w:val="0"/>
        <w:spacing w:after="180"/>
        <w:jc w:val="both"/>
        <w:textAlignment w:val="baseline"/>
        <w:rPr>
          <w:rFonts w:hint="default"/>
          <w:b w:val="0"/>
          <w:bCs w:val="0"/>
          <w:sz w:val="21"/>
          <w:szCs w:val="28"/>
          <w:lang w:val="en-US"/>
        </w:rPr>
      </w:pPr>
      <w:r>
        <w:rPr>
          <w:rFonts w:hint="default"/>
          <w:b w:val="0"/>
          <w:bCs w:val="0"/>
          <w:sz w:val="21"/>
          <w:szCs w:val="28"/>
          <w:lang w:val="en-US"/>
        </w:rPr>
        <w:t xml:space="preserve">In last meeting, the RRC parameters were discussed for the first time, and most of the rows are marked unstable. In the following, we provide our considerations. </w:t>
      </w:r>
    </w:p>
    <w:p>
      <w:pPr>
        <w:jc w:val="both"/>
        <w:rPr>
          <w:rFonts w:hint="default"/>
          <w:i/>
          <w:snapToGrid w:val="0"/>
          <w:sz w:val="21"/>
          <w:lang w:val="en-US" w:eastAsia="zh-CN"/>
        </w:rPr>
      </w:pPr>
      <w:r>
        <w:rPr>
          <w:rFonts w:hint="default" w:cs="Times New Roman"/>
          <w:b w:val="0"/>
          <w:bCs w:val="0"/>
          <w:lang w:val="en-US"/>
        </w:rPr>
        <w:t xml:space="preserve">The current Row 8 and </w:t>
      </w:r>
      <w:r>
        <w:rPr>
          <w:rFonts w:hint="default" w:ascii="Times New Roman" w:hAnsi="Times New Roman" w:cs="Times New Roman"/>
          <w:b w:val="0"/>
          <w:bCs w:val="0"/>
          <w:lang w:val="en-US"/>
        </w:rPr>
        <w:t>Ro</w:t>
      </w:r>
      <w:r>
        <w:rPr>
          <w:rFonts w:hint="default" w:cs="Times New Roman"/>
          <w:b w:val="0"/>
          <w:bCs w:val="0"/>
          <w:lang w:val="en-US"/>
        </w:rPr>
        <w:t xml:space="preserve">w 9 seem to have similar field descriptions. According to the agreement in last meeting, a new triggering state indicating which N sub-configurations out of the L sub-configurations will be  defined under </w:t>
      </w:r>
      <w:r>
        <w:rPr>
          <w:snapToGrid w:val="0"/>
          <w:sz w:val="21"/>
          <w:lang w:eastAsia="zh-CN"/>
        </w:rPr>
        <w:t xml:space="preserve"> </w:t>
      </w:r>
      <w:r>
        <w:rPr>
          <w:i/>
          <w:snapToGrid w:val="0"/>
          <w:sz w:val="21"/>
          <w:lang w:eastAsia="zh-CN"/>
        </w:rPr>
        <w:t>CSI-SemiPersistentOnPUSCH-TriggerState</w:t>
      </w:r>
      <w:r>
        <w:rPr>
          <w:rFonts w:hint="default"/>
          <w:i/>
          <w:snapToGrid w:val="0"/>
          <w:sz w:val="21"/>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szCs w:val="20"/>
                <w:highlight w:val="green"/>
              </w:rPr>
            </w:pPr>
            <w:r>
              <w:rPr>
                <w:b/>
                <w:bCs/>
                <w:szCs w:val="20"/>
                <w:highlight w:val="green"/>
              </w:rPr>
              <w:t>Agreement</w:t>
            </w:r>
          </w:p>
          <w:p>
            <w:pPr>
              <w:tabs>
                <w:tab w:val="left" w:pos="1440"/>
              </w:tabs>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Pr>
                <w:i/>
                <w:snapToGrid w:val="0"/>
                <w:sz w:val="21"/>
                <w:lang w:eastAsia="zh-CN"/>
              </w:rPr>
              <w:t>CSI-SemiPersistentOnPUSCH-TriggerState</w:t>
            </w:r>
            <w:r>
              <w:rPr>
                <w:snapToGrid w:val="0"/>
                <w:sz w:val="21"/>
                <w:lang w:eastAsia="zh-CN"/>
              </w:rPr>
              <w:t xml:space="preserve">.   </w:t>
            </w:r>
          </w:p>
          <w:p>
            <w:pPr>
              <w:pStyle w:val="47"/>
              <w:numPr>
                <w:ilvl w:val="0"/>
                <w:numId w:val="4"/>
              </w:numPr>
              <w:tabs>
                <w:tab w:val="left" w:pos="1440"/>
              </w:tabs>
              <w:spacing w:after="180" w:line="259" w:lineRule="auto"/>
              <w:ind w:leftChars="0"/>
              <w:jc w:val="both"/>
              <w:rPr>
                <w:rFonts w:hint="default" w:cs="Times New Roman"/>
                <w:b w:val="0"/>
                <w:bCs w:val="0"/>
                <w:vertAlign w:val="baseline"/>
                <w:lang w:val="en-US"/>
              </w:rPr>
            </w:pPr>
            <w:r>
              <w:rPr>
                <w:snapToGrid w:val="0"/>
                <w:sz w:val="21"/>
                <w:lang w:eastAsia="zh-CN"/>
              </w:rPr>
              <w:t>No change to current CSI request field in DCI.</w:t>
            </w:r>
          </w:p>
        </w:tc>
      </w:tr>
    </w:tbl>
    <w:p>
      <w:pPr>
        <w:jc w:val="both"/>
        <w:rPr>
          <w:rFonts w:hint="default"/>
          <w:i w:val="0"/>
          <w:iCs/>
          <w:snapToGrid w:val="0"/>
          <w:sz w:val="21"/>
          <w:lang w:val="en-US" w:eastAsia="zh-CN"/>
        </w:rPr>
      </w:pPr>
    </w:p>
    <w:p>
      <w:pPr>
        <w:jc w:val="both"/>
        <w:rPr>
          <w:rFonts w:hint="default" w:cs="Times New Roman"/>
          <w:b w:val="0"/>
          <w:bCs w:val="0"/>
          <w:lang w:val="en-US"/>
        </w:rPr>
      </w:pPr>
      <w:r>
        <w:rPr>
          <w:rFonts w:hint="default"/>
          <w:i w:val="0"/>
          <w:iCs/>
          <w:snapToGrid w:val="0"/>
          <w:sz w:val="21"/>
          <w:lang w:val="en-US" w:eastAsia="zh-CN"/>
        </w:rPr>
        <w:t xml:space="preserve">Therefore, we have the following understanding that: </w:t>
      </w:r>
    </w:p>
    <w:p>
      <w:pPr>
        <w:jc w:val="both"/>
        <w:rPr>
          <w:rFonts w:hint="default" w:cs="Times New Roman"/>
          <w:b w:val="0"/>
          <w:bCs w:val="0"/>
          <w:lang w:val="en-US"/>
        </w:rPr>
      </w:pPr>
      <w:r>
        <w:rPr>
          <w:rFonts w:hint="default" w:cs="Times New Roman"/>
          <w:b w:val="0"/>
          <w:bCs w:val="0"/>
          <w:lang w:val="en-US"/>
        </w:rPr>
        <w:t>Row 8 is the parent IE for Row 9, and Row 9 is a field indicating the N sub-configurations, which can be a “</w:t>
      </w:r>
      <w:r>
        <w:t>associated</w:t>
      </w:r>
      <w:r>
        <w:rPr>
          <w:rFonts w:hint="default"/>
          <w:lang w:val="en-US"/>
        </w:rPr>
        <w:t>Sub</w:t>
      </w:r>
      <w:r>
        <w:t>ReportConfig</w:t>
      </w:r>
      <w:r>
        <w:rPr>
          <w:rFonts w:hint="default"/>
          <w:lang w:val="en-US"/>
        </w:rPr>
        <w:t>List</w:t>
      </w:r>
      <w:r>
        <w:rPr>
          <w:rFonts w:hint="default" w:cs="Times New Roman"/>
          <w:b w:val="0"/>
          <w:bCs w:val="0"/>
          <w:lang w:val="en-US"/>
        </w:rPr>
        <w:t xml:space="preserve">” IE, with the value range of  (1..Nmax)) of sub-configID, where Nmax is the maximum number of CSI sub-configurations within a CSI report config that the UE supports to be triggered. </w:t>
      </w:r>
    </w:p>
    <w:p>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For RRC parameters, Row 8 is the parent IE for Row 9, and Row 9 is a field indicating the N sub-configurations, which can be a “</w:t>
      </w:r>
      <w:r>
        <w:rPr>
          <w:rFonts w:hint="default" w:ascii="Times New Roman Bold" w:hAnsi="Times New Roman Bold" w:cs="Times New Roman Bold"/>
          <w:b/>
          <w:bCs/>
        </w:rPr>
        <w:t>associated</w:t>
      </w:r>
      <w:r>
        <w:rPr>
          <w:rFonts w:hint="default" w:ascii="Times New Roman Bold" w:hAnsi="Times New Roman Bold" w:cs="Times New Roman Bold"/>
          <w:b/>
          <w:bCs/>
          <w:lang w:val="en-US"/>
        </w:rPr>
        <w:t>Sub</w:t>
      </w:r>
      <w:r>
        <w:rPr>
          <w:rFonts w:hint="default" w:ascii="Times New Roman Bold" w:hAnsi="Times New Roman Bold" w:cs="Times New Roman Bold"/>
          <w:b/>
          <w:bCs/>
        </w:rPr>
        <w:t>Config</w:t>
      </w:r>
      <w:r>
        <w:rPr>
          <w:rFonts w:hint="default" w:ascii="Times New Roman Bold" w:hAnsi="Times New Roman Bold" w:cs="Times New Roman Bold"/>
          <w:b/>
          <w:bCs/>
          <w:lang w:val="en-US"/>
        </w:rPr>
        <w:t xml:space="preserve">List” IE, with the value range of  (1..Nmax)) of sub-configID, where Nmax is the maximum number of CSI sub-configurations within a CSI report config that the UE supports to be triggered. </w:t>
      </w:r>
    </w:p>
    <w:p>
      <w:pPr>
        <w:jc w:val="both"/>
        <w:rPr>
          <w:rFonts w:hint="default" w:cs="Times New Roman"/>
          <w:b w:val="0"/>
          <w:bCs w:val="0"/>
          <w:lang w:val="en-US"/>
        </w:rPr>
      </w:pPr>
      <w:r>
        <w:rPr>
          <w:rFonts w:hint="default" w:cs="Times New Roman"/>
          <w:b w:val="0"/>
          <w:bCs w:val="0"/>
          <w:lang w:val="en-US"/>
        </w:rPr>
        <w:t xml:space="preserve">Similar consideration applies for Row 10 and Row 11, according to the following agreement in last meeting, the N triggered sub-configurations will be configured in </w:t>
      </w:r>
      <w:r>
        <w:rPr>
          <w:i/>
          <w:snapToGrid w:val="0"/>
          <w:szCs w:val="20"/>
          <w:lang w:eastAsia="zh-CN"/>
        </w:rPr>
        <w:t>CSI-AssociatedReportConfigInfo</w:t>
      </w:r>
      <w:r>
        <w:rPr>
          <w:rFonts w:hint="default"/>
          <w:i w:val="0"/>
          <w:iCs/>
          <w:snapToGrid w:val="0"/>
          <w:szCs w:val="20"/>
          <w:lang w:val="en-US" w:eastAsia="zh-CN"/>
        </w:rPr>
        <w:t xml:space="preserve">, which is as described in Row 10. </w:t>
      </w:r>
      <w:r>
        <w:rPr>
          <w:rFonts w:hint="default" w:cs="Times New Roman"/>
          <w:b w:val="0"/>
          <w:bCs w:val="0"/>
          <w:lang w:val="en-US"/>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tabs>
                <w:tab w:val="left" w:pos="1440"/>
              </w:tabs>
              <w:rPr>
                <w:b/>
                <w:bCs/>
                <w:szCs w:val="20"/>
                <w:highlight w:val="green"/>
              </w:rPr>
            </w:pPr>
            <w:r>
              <w:rPr>
                <w:b/>
                <w:bCs/>
                <w:szCs w:val="20"/>
                <w:highlight w:val="green"/>
              </w:rPr>
              <w:t>Agreement</w:t>
            </w:r>
          </w:p>
          <w:p>
            <w:pPr>
              <w:tabs>
                <w:tab w:val="left" w:pos="1440"/>
              </w:tabs>
              <w:rPr>
                <w:snapToGrid w:val="0"/>
                <w:szCs w:val="20"/>
                <w:lang w:eastAsia="zh-CN"/>
              </w:rPr>
            </w:pPr>
            <w:r>
              <w:rPr>
                <w:snapToGrid w:val="0"/>
                <w:szCs w:val="20"/>
                <w:lang w:eastAsia="zh-CN"/>
              </w:rPr>
              <w:t xml:space="preserve">For sub-configuration triggering of A-CSI, an indication for N sub-configurations out of L sub-configurations for a triggering state is configured in </w:t>
            </w:r>
            <w:r>
              <w:rPr>
                <w:i/>
                <w:snapToGrid w:val="0"/>
                <w:szCs w:val="20"/>
                <w:lang w:eastAsia="zh-CN"/>
              </w:rPr>
              <w:t>CSI-AssociatedReportConfigInfo</w:t>
            </w:r>
            <w:r>
              <w:rPr>
                <w:snapToGrid w:val="0"/>
                <w:szCs w:val="20"/>
                <w:lang w:eastAsia="zh-CN"/>
              </w:rPr>
              <w:t xml:space="preserve">.   </w:t>
            </w:r>
          </w:p>
          <w:p>
            <w:pPr>
              <w:tabs>
                <w:tab w:val="left" w:pos="1440"/>
              </w:tabs>
              <w:rPr>
                <w:rFonts w:hint="default" w:cs="Times New Roman"/>
                <w:b w:val="0"/>
                <w:bCs w:val="0"/>
                <w:vertAlign w:val="baseline"/>
                <w:lang w:val="en-US"/>
              </w:rPr>
            </w:pPr>
            <w:r>
              <w:rPr>
                <w:snapToGrid w:val="0"/>
                <w:szCs w:val="20"/>
                <w:lang w:eastAsia="zh-CN"/>
              </w:rPr>
              <w:t>No change to current CSI request field in DCI.</w:t>
            </w:r>
          </w:p>
        </w:tc>
      </w:tr>
    </w:tbl>
    <w:p>
      <w:pPr>
        <w:jc w:val="both"/>
        <w:rPr>
          <w:rFonts w:hint="default"/>
          <w:i w:val="0"/>
          <w:iCs/>
          <w:snapToGrid w:val="0"/>
          <w:szCs w:val="20"/>
          <w:lang w:val="en-US" w:eastAsia="zh-CN"/>
        </w:rPr>
      </w:pPr>
    </w:p>
    <w:p>
      <w:pPr>
        <w:jc w:val="both"/>
        <w:rPr>
          <w:rFonts w:hint="default" w:ascii="Times New Roman Italic" w:hAnsi="Times New Roman Italic" w:cs="Times New Roman Italic"/>
          <w:i/>
          <w:iCs w:val="0"/>
          <w:snapToGrid w:val="0"/>
          <w:szCs w:val="20"/>
          <w:lang w:val="en-US" w:eastAsia="zh-CN"/>
        </w:rPr>
      </w:pPr>
      <w:r>
        <w:rPr>
          <w:rFonts w:hint="default"/>
          <w:i w:val="0"/>
          <w:iCs/>
          <w:snapToGrid w:val="0"/>
          <w:szCs w:val="20"/>
          <w:lang w:val="en-US" w:eastAsia="zh-CN"/>
        </w:rPr>
        <w:t>For Row 11, it should also be a list of sub-configuration</w:t>
      </w:r>
      <w:r>
        <w:rPr>
          <w:rFonts w:hint="default"/>
          <w:b w:val="0"/>
          <w:bCs w:val="0"/>
          <w:i w:val="0"/>
          <w:iCs/>
          <w:snapToGrid w:val="0"/>
          <w:szCs w:val="20"/>
          <w:lang w:val="en-US" w:eastAsia="zh-CN"/>
        </w:rPr>
        <w:t xml:space="preserve">s, </w:t>
      </w:r>
      <w:r>
        <w:rPr>
          <w:rFonts w:hint="default" w:ascii="Times New Roman" w:hAnsi="Times New Roman" w:cs="Times New Roman"/>
          <w:b w:val="0"/>
          <w:bCs w:val="0"/>
          <w:lang w:val="en-US"/>
        </w:rPr>
        <w:t>which can be a “</w:t>
      </w:r>
      <w:r>
        <w:rPr>
          <w:rFonts w:hint="default" w:ascii="Times New Roman Italic" w:hAnsi="Times New Roman Italic" w:cs="Times New Roman Italic"/>
          <w:b w:val="0"/>
          <w:bCs w:val="0"/>
          <w:i/>
          <w:iCs/>
        </w:rPr>
        <w:t>associated</w:t>
      </w:r>
      <w:r>
        <w:rPr>
          <w:rFonts w:hint="default" w:ascii="Times New Roman Italic" w:hAnsi="Times New Roman Italic" w:cs="Times New Roman Italic"/>
          <w:b w:val="0"/>
          <w:bCs w:val="0"/>
          <w:i/>
          <w:iCs/>
          <w:lang w:val="en-US"/>
        </w:rPr>
        <w:t>Sub</w:t>
      </w:r>
      <w:r>
        <w:rPr>
          <w:rFonts w:hint="default" w:ascii="Times New Roman Italic" w:hAnsi="Times New Roman Italic" w:cs="Times New Roman Italic"/>
          <w:b w:val="0"/>
          <w:bCs w:val="0"/>
          <w:i/>
          <w:iCs/>
        </w:rPr>
        <w:t>Config</w:t>
      </w:r>
      <w:r>
        <w:rPr>
          <w:rFonts w:hint="default" w:ascii="Times New Roman Italic" w:hAnsi="Times New Roman Italic" w:cs="Times New Roman Italic"/>
          <w:b w:val="0"/>
          <w:bCs w:val="0"/>
          <w:i/>
          <w:iCs/>
          <w:lang w:val="en-US"/>
        </w:rPr>
        <w:t>InfoList</w:t>
      </w:r>
      <w:r>
        <w:rPr>
          <w:rFonts w:hint="default" w:ascii="Times New Roman" w:hAnsi="Times New Roman" w:cs="Times New Roman"/>
          <w:b w:val="0"/>
          <w:bCs w:val="0"/>
          <w:lang w:val="en-US"/>
        </w:rPr>
        <w:t xml:space="preserve">” IE, with the value range of  (1..Nmax)) of </w:t>
      </w:r>
      <w:r>
        <w:rPr>
          <w:rFonts w:hint="default" w:ascii="Times New Roman Italic" w:hAnsi="Times New Roman Italic" w:cs="Times New Roman Italic"/>
          <w:b w:val="0"/>
          <w:bCs w:val="0"/>
          <w:i/>
          <w:iCs/>
          <w:lang w:val="en-US" w:eastAsia="en-GB"/>
        </w:rPr>
        <w:t>CSI-AssociatedSubConfigId</w:t>
      </w:r>
      <w:r>
        <w:rPr>
          <w:rFonts w:hint="default" w:ascii="Times New Roman" w:hAnsi="Times New Roman" w:cs="Times New Roman"/>
          <w:b w:val="0"/>
          <w:bCs w:val="0"/>
          <w:lang w:val="en-US"/>
        </w:rPr>
        <w:t>, where Nmax is the maximum number of CSI sub-configurations within a CSI report config</w:t>
      </w:r>
      <w:r>
        <w:rPr>
          <w:rFonts w:hint="default" w:cs="Times New Roman"/>
          <w:b w:val="0"/>
          <w:bCs w:val="0"/>
          <w:lang w:val="en-US"/>
        </w:rPr>
        <w:t>uration</w:t>
      </w:r>
      <w:r>
        <w:rPr>
          <w:rFonts w:hint="default" w:ascii="Times New Roman" w:hAnsi="Times New Roman" w:cs="Times New Roman"/>
          <w:b w:val="0"/>
          <w:bCs w:val="0"/>
          <w:lang w:val="en-US"/>
        </w:rPr>
        <w:t xml:space="preserve"> that the UE supports to be triggered. </w:t>
      </w:r>
    </w:p>
    <w:p>
      <w:pPr>
        <w:jc w:val="both"/>
        <w:rPr>
          <w:rFonts w:hint="default" w:ascii="Times New Roman Bold" w:hAnsi="Times New Roman Bold" w:cs="Times New Roman Bold"/>
          <w:b/>
          <w:bCs/>
          <w:lang w:val="en-US"/>
        </w:rPr>
      </w:pPr>
      <w:r>
        <w:rPr>
          <w:rFonts w:hint="default" w:cs="Times New Roman"/>
          <w:b/>
          <w:bCs/>
          <w:i w:val="0"/>
          <w:iCs/>
          <w:snapToGrid w:val="0"/>
          <w:szCs w:val="20"/>
          <w:lang w:val="en-US" w:eastAsia="zh-CN"/>
        </w:rPr>
        <w:t>Proposal 6: Row 10 is the parent IE for Row 11, and Row 11 is a field indicating the N sub-configurations, which can be a “</w:t>
      </w:r>
      <w:r>
        <w:rPr>
          <w:rFonts w:hint="default" w:ascii="Times New Roman Italic" w:hAnsi="Times New Roman Italic" w:cs="Times New Roman Italic"/>
          <w:b/>
          <w:bCs/>
          <w:i/>
          <w:iCs/>
        </w:rPr>
        <w:t>associated</w:t>
      </w:r>
      <w:r>
        <w:rPr>
          <w:rFonts w:hint="default" w:ascii="Times New Roman Italic" w:hAnsi="Times New Roman Italic" w:cs="Times New Roman Italic"/>
          <w:b/>
          <w:bCs/>
          <w:i/>
          <w:iCs/>
          <w:lang w:val="en-US"/>
        </w:rPr>
        <w:t>Sub</w:t>
      </w:r>
      <w:r>
        <w:rPr>
          <w:rFonts w:hint="default" w:ascii="Times New Roman Italic" w:hAnsi="Times New Roman Italic" w:cs="Times New Roman Italic"/>
          <w:b/>
          <w:bCs/>
          <w:i/>
          <w:iCs/>
        </w:rPr>
        <w:t>Config</w:t>
      </w:r>
      <w:r>
        <w:rPr>
          <w:rFonts w:hint="default" w:ascii="Times New Roman Italic" w:hAnsi="Times New Roman Italic" w:cs="Times New Roman Italic"/>
          <w:b/>
          <w:bCs/>
          <w:i/>
          <w:iCs/>
          <w:lang w:val="en-US"/>
        </w:rPr>
        <w:t>InfoList</w:t>
      </w:r>
      <w:r>
        <w:rPr>
          <w:rFonts w:hint="default" w:cs="Times New Roman"/>
          <w:b/>
          <w:bCs/>
          <w:i w:val="0"/>
          <w:iCs/>
          <w:snapToGrid w:val="0"/>
          <w:szCs w:val="20"/>
          <w:lang w:val="en-US" w:eastAsia="zh-CN"/>
        </w:rPr>
        <w:t xml:space="preserve">” with the value range of  </w:t>
      </w:r>
      <w:r>
        <w:rPr>
          <w:rFonts w:hint="default" w:ascii="Times New Roman Bold" w:hAnsi="Times New Roman Bold" w:cs="Times New Roman Bold"/>
          <w:b/>
          <w:bCs/>
          <w:lang w:val="en-US"/>
        </w:rPr>
        <w:t xml:space="preserve"> (1..Nmax)) of sub-configID, where Nmax is the maximum number of CSI sub-configurations within a CSI report config that the UE supports to be triggered. </w:t>
      </w:r>
    </w:p>
    <w:p>
      <w:pPr>
        <w:jc w:val="both"/>
        <w:rPr>
          <w:rFonts w:hint="default" w:cs="Times New Roman"/>
          <w:b w:val="0"/>
          <w:bCs w:val="0"/>
          <w:lang w:val="en-US"/>
        </w:rPr>
      </w:pPr>
    </w:p>
    <w:p>
      <w:pPr>
        <w:pStyle w:val="2"/>
      </w:pPr>
      <w:r>
        <w:rPr>
          <w:rFonts w:hint="default"/>
        </w:rPr>
        <w:t xml:space="preserve"> </w:t>
      </w:r>
      <w:r>
        <w:t>Conclusion</w:t>
      </w:r>
    </w:p>
    <w:p>
      <w:pPr>
        <w:pStyle w:val="45"/>
        <w:numPr>
          <w:ilvl w:val="0"/>
          <w:numId w:val="0"/>
        </w:numPr>
      </w:pPr>
      <w:r>
        <w:t xml:space="preserve">In this contribution, we discussed our considerations on </w:t>
      </w:r>
      <w:r>
        <w:rPr>
          <w:rFonts w:hint="default"/>
        </w:rPr>
        <w:t xml:space="preserve">remaining issues on </w:t>
      </w:r>
      <w:r>
        <w:t>spatial and power domain enhancement to support network energy saving, the following proposals are made:</w:t>
      </w:r>
    </w:p>
    <w:p>
      <w:pPr>
        <w:numPr>
          <w:ilvl w:val="0"/>
          <w:numId w:val="0"/>
        </w:numPr>
        <w:spacing w:after="160" w:line="254" w:lineRule="auto"/>
        <w:ind w:leftChars="0"/>
        <w:jc w:val="both"/>
        <w:rPr>
          <w:rFonts w:hint="default" w:ascii="Times New Roman Bold" w:hAnsi="Times New Roman Bold" w:cs="Times New Roman Bold"/>
          <w:b/>
          <w:bCs/>
          <w:lang w:eastAsia="zh-CN"/>
        </w:rPr>
      </w:pPr>
      <w:r>
        <w:rPr>
          <w:rFonts w:hint="default" w:ascii="Times New Roman Bold" w:hAnsi="Times New Roman Bold" w:cs="Times New Roman Bold"/>
          <w:b/>
          <w:bCs/>
          <w:lang w:val="en-US" w:eastAsia="zh-CN"/>
        </w:rPr>
        <w:t>Ac</w:t>
      </w:r>
      <w:r>
        <w:rPr>
          <w:rFonts w:hint="default" w:ascii="Times New Roman Bold" w:hAnsi="Times New Roman Bold" w:cs="Times New Roman Bold"/>
          <w:b/>
          <w:bCs/>
          <w:lang w:eastAsia="zh-CN"/>
        </w:rPr>
        <w:t>tive CSI-RS port counting</w:t>
      </w:r>
    </w:p>
    <w:p>
      <w:pPr>
        <w:rPr>
          <w:rFonts w:hint="default"/>
          <w:lang w:val="en-US"/>
        </w:rPr>
      </w:pPr>
      <w:r>
        <w:rPr>
          <w:rFonts w:hint="eastAsia" w:ascii="Times New Roman Bold" w:hAnsi="Times New Roman Bold" w:eastAsia="宋体" w:cs="Times New Roman Bold"/>
          <w:b/>
          <w:bCs/>
          <w:lang w:val="en-US" w:eastAsia="zh-CN"/>
        </w:rPr>
        <w:t>Observation 1: The current UE capability on totalNumberPortsSimultaneousNZP-CSI-RS-PerCC provides enough room to support NES feature.</w:t>
      </w:r>
    </w:p>
    <w:p>
      <w:pPr>
        <w:rPr>
          <w:rFonts w:hint="eastAsia" w:ascii="Times New Roman Bold" w:hAnsi="Times New Roman Bold" w:eastAsia="宋体" w:cs="Times New Roman Bold"/>
          <w:b/>
          <w:bCs/>
          <w:lang w:val="en-US" w:eastAsia="zh-CN"/>
        </w:rPr>
      </w:pPr>
      <w:r>
        <w:rPr>
          <w:rFonts w:hint="default" w:ascii="Times New Roman Bold" w:hAnsi="Times New Roman Bold" w:cs="Times New Roman Bold"/>
          <w:b/>
          <w:bCs/>
          <w:lang w:val="en-US"/>
        </w:rPr>
        <w:t xml:space="preserve">Proposal 1: For active CSI-RS ports counting agreement, clarify that for AP CSI-RS, X sub-configurations corresponds to the N activated sub-configurations, and for P/SP CSI-RS, X sub-configurations correspond to the L configured sub-configurations. </w:t>
      </w:r>
      <w:r>
        <w:rPr>
          <w:rFonts w:hint="eastAsia" w:ascii="Times New Roman Bold" w:hAnsi="Times New Roman Bold" w:eastAsia="宋体" w:cs="Times New Roman Bold"/>
          <w:b/>
          <w:bCs/>
          <w:lang w:val="en-US" w:eastAsia="zh-CN"/>
        </w:rPr>
        <w:t xml:space="preserve"> </w:t>
      </w:r>
    </w:p>
    <w:p>
      <w:pPr>
        <w:rPr>
          <w:rFonts w:hint="default" w:ascii="Times New Roman Bold" w:hAnsi="Times New Roman Bold" w:eastAsia="宋体" w:cs="Times New Roman Bold"/>
          <w:b/>
          <w:bCs/>
          <w:lang w:val="en-US" w:eastAsia="zh-CN"/>
        </w:rPr>
      </w:pPr>
      <w:r>
        <w:rPr>
          <w:rFonts w:hint="eastAsia" w:ascii="Times New Roman Bold" w:hAnsi="Times New Roman Bold" w:eastAsia="宋体" w:cs="Times New Roman Bold"/>
          <w:b/>
          <w:bCs/>
          <w:lang w:val="en-US" w:eastAsia="zh-CN"/>
        </w:rPr>
        <w:t xml:space="preserve">Proposal 2: Current UE capabilities </w:t>
      </w:r>
      <w:r>
        <w:rPr>
          <w:rFonts w:hint="default" w:ascii="Times New Roman Bold" w:hAnsi="Times New Roman Bold" w:eastAsia="宋体" w:cs="Times New Roman Bold"/>
          <w:b/>
          <w:bCs/>
          <w:lang w:val="en-US" w:eastAsia="zh-CN"/>
        </w:rPr>
        <w:t xml:space="preserve">should </w:t>
      </w:r>
      <w:r>
        <w:rPr>
          <w:rFonts w:hint="eastAsia" w:ascii="Times New Roman Bold" w:hAnsi="Times New Roman Bold" w:eastAsia="宋体" w:cs="Times New Roman Bold"/>
          <w:b/>
          <w:bCs/>
          <w:lang w:val="en-US" w:eastAsia="zh-CN"/>
        </w:rPr>
        <w:t xml:space="preserve">be maintained to support NES feature. </w:t>
      </w:r>
    </w:p>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CSI omission</w:t>
      </w:r>
    </w:p>
    <w:p>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3: For CSI reporting on PUSCH, and when all CSI reports consist of one part,  CSI part 1 can be omitted in sub-configuration level.</w:t>
      </w:r>
    </w:p>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Supported codebook type</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4: Only codebook type-1 is supported for NES including Type 1SD, Type 2 SD and PD adaptation.</w:t>
      </w:r>
    </w:p>
    <w:p>
      <w:pPr>
        <w:numPr>
          <w:ilvl w:val="0"/>
          <w:numId w:val="0"/>
        </w:numPr>
        <w:spacing w:after="160" w:line="254" w:lineRule="auto"/>
        <w:ind w:leftChars="0"/>
        <w:jc w:val="both"/>
        <w:rPr>
          <w:rFonts w:hint="default" w:ascii="Times New Roman Bold" w:hAnsi="Times New Roman Bold" w:cs="Times New Roman Bold"/>
          <w:b/>
          <w:bCs/>
          <w:lang w:eastAsia="zh-CN"/>
        </w:rPr>
      </w:pPr>
    </w:p>
    <w:p>
      <w:pPr>
        <w:numPr>
          <w:ilvl w:val="0"/>
          <w:numId w:val="0"/>
        </w:numPr>
        <w:spacing w:after="160" w:line="254" w:lineRule="auto"/>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RRC parameters    </w:t>
      </w:r>
    </w:p>
    <w:p>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For RRC parameters, Row 8 is the parent IE for Row 9, and Row 9 is a field indicating the N sub-configurations, which can be a “</w:t>
      </w:r>
      <w:r>
        <w:rPr>
          <w:rFonts w:hint="default" w:ascii="Times New Roman Bold" w:hAnsi="Times New Roman Bold" w:cs="Times New Roman Bold"/>
          <w:b/>
          <w:bCs/>
        </w:rPr>
        <w:t>associated</w:t>
      </w:r>
      <w:r>
        <w:rPr>
          <w:rFonts w:hint="default" w:ascii="Times New Roman Bold" w:hAnsi="Times New Roman Bold" w:cs="Times New Roman Bold"/>
          <w:b/>
          <w:bCs/>
          <w:lang w:val="en-US"/>
        </w:rPr>
        <w:t>Sub</w:t>
      </w:r>
      <w:r>
        <w:rPr>
          <w:rFonts w:hint="default" w:ascii="Times New Roman Bold" w:hAnsi="Times New Roman Bold" w:cs="Times New Roman Bold"/>
          <w:b/>
          <w:bCs/>
        </w:rPr>
        <w:t>Config</w:t>
      </w:r>
      <w:r>
        <w:rPr>
          <w:rFonts w:hint="default" w:ascii="Times New Roman Bold" w:hAnsi="Times New Roman Bold" w:cs="Times New Roman Bold"/>
          <w:b/>
          <w:bCs/>
          <w:lang w:val="en-US"/>
        </w:rPr>
        <w:t xml:space="preserve">List” IE, with the value range of  (1..Nmax)) of sub-configID, where Nmax is the maximum number of CSI sub-configurations within a CSI report config that the UE supports to be triggered. </w:t>
      </w:r>
    </w:p>
    <w:p>
      <w:pPr>
        <w:jc w:val="both"/>
        <w:rPr>
          <w:rFonts w:hint="default" w:ascii="Times New Roman Bold" w:hAnsi="Times New Roman Bold" w:cs="Times New Roman Bold"/>
          <w:b/>
          <w:bCs/>
          <w:lang w:eastAsia="zh-CN"/>
        </w:rPr>
      </w:pPr>
      <w:r>
        <w:rPr>
          <w:rFonts w:hint="default" w:cs="Times New Roman"/>
          <w:b/>
          <w:bCs/>
          <w:i w:val="0"/>
          <w:iCs/>
          <w:snapToGrid w:val="0"/>
          <w:szCs w:val="20"/>
          <w:lang w:val="en-US" w:eastAsia="zh-CN"/>
        </w:rPr>
        <w:t>Proposal 6: Row 10 is the parent IE for Row 11, and Row 11 is a field indicating the N sub-configurations, which can be a “</w:t>
      </w:r>
      <w:r>
        <w:rPr>
          <w:rFonts w:hint="default" w:ascii="Times New Roman Italic" w:hAnsi="Times New Roman Italic" w:cs="Times New Roman Italic"/>
          <w:b/>
          <w:bCs/>
          <w:i/>
          <w:iCs/>
        </w:rPr>
        <w:t>associated</w:t>
      </w:r>
      <w:r>
        <w:rPr>
          <w:rFonts w:hint="default" w:ascii="Times New Roman Italic" w:hAnsi="Times New Roman Italic" w:cs="Times New Roman Italic"/>
          <w:b/>
          <w:bCs/>
          <w:i/>
          <w:iCs/>
          <w:lang w:val="en-US"/>
        </w:rPr>
        <w:t>Sub</w:t>
      </w:r>
      <w:r>
        <w:rPr>
          <w:rFonts w:hint="default" w:ascii="Times New Roman Italic" w:hAnsi="Times New Roman Italic" w:cs="Times New Roman Italic"/>
          <w:b/>
          <w:bCs/>
          <w:i/>
          <w:iCs/>
        </w:rPr>
        <w:t>Config</w:t>
      </w:r>
      <w:r>
        <w:rPr>
          <w:rFonts w:hint="default" w:ascii="Times New Roman Italic" w:hAnsi="Times New Roman Italic" w:cs="Times New Roman Italic"/>
          <w:b/>
          <w:bCs/>
          <w:i/>
          <w:iCs/>
          <w:lang w:val="en-US"/>
        </w:rPr>
        <w:t>InfoList</w:t>
      </w:r>
      <w:r>
        <w:rPr>
          <w:rFonts w:hint="default" w:cs="Times New Roman"/>
          <w:b/>
          <w:bCs/>
          <w:i w:val="0"/>
          <w:iCs/>
          <w:snapToGrid w:val="0"/>
          <w:szCs w:val="20"/>
          <w:lang w:val="en-US" w:eastAsia="zh-CN"/>
        </w:rPr>
        <w:t xml:space="preserve">” with the value range of  </w:t>
      </w:r>
      <w:r>
        <w:rPr>
          <w:rFonts w:hint="default" w:ascii="Times New Roman Bold" w:hAnsi="Times New Roman Bold" w:cs="Times New Roman Bold"/>
          <w:b/>
          <w:bCs/>
          <w:lang w:val="en-US"/>
        </w:rPr>
        <w:t xml:space="preserve"> (1..Nmax)) of sub-configID, where Nmax is the maximum number of CSI sub-configurations within a CSI report config that the UE supports to be triggered. </w:t>
      </w:r>
    </w:p>
    <w:p>
      <w:pPr>
        <w:pStyle w:val="2"/>
      </w:pPr>
      <w:r>
        <w:rPr>
          <w:rFonts w:hint="default"/>
        </w:rPr>
        <w:t xml:space="preserve"> </w:t>
      </w:r>
      <w:r>
        <w:t>Reference</w:t>
      </w:r>
    </w:p>
    <w:p>
      <w:pPr>
        <w:numPr>
          <w:ilvl w:val="0"/>
          <w:numId w:val="6"/>
        </w:numPr>
        <w:tabs>
          <w:tab w:val="clear" w:pos="657"/>
        </w:tabs>
        <w:overflowPunct w:val="0"/>
        <w:autoSpaceDE w:val="0"/>
        <w:autoSpaceDN w:val="0"/>
        <w:adjustRightInd w:val="0"/>
        <w:spacing w:before="100" w:beforeAutospacing="1" w:after="100" w:afterAutospacing="1"/>
        <w:ind w:left="562" w:hanging="562"/>
        <w:textAlignment w:val="baseline"/>
        <w:rPr>
          <w:rFonts w:hint="default"/>
          <w:szCs w:val="20"/>
          <w:lang w:val="en-US"/>
        </w:rPr>
      </w:pPr>
      <w:r>
        <w:rPr>
          <w:rFonts w:hint="default"/>
          <w:sz w:val="21"/>
          <w:szCs w:val="21"/>
        </w:rPr>
        <w:t>RAN1 Chair’s Notes, 3GPP TSG RAN WG1 #11</w:t>
      </w:r>
      <w:r>
        <w:rPr>
          <w:rFonts w:hint="default"/>
          <w:sz w:val="21"/>
          <w:szCs w:val="21"/>
          <w:lang w:val="en-US"/>
        </w:rPr>
        <w:t>4</w:t>
      </w:r>
      <w:r>
        <w:rPr>
          <w:rFonts w:hint="default"/>
          <w:sz w:val="21"/>
          <w:szCs w:val="21"/>
        </w:rPr>
        <w:t xml:space="preserve">, </w:t>
      </w:r>
      <w:r>
        <w:rPr>
          <w:rFonts w:hint="default"/>
          <w:sz w:val="21"/>
          <w:szCs w:val="21"/>
          <w:lang w:val="en-US"/>
        </w:rPr>
        <w:t>Toulouse</w:t>
      </w:r>
      <w:r>
        <w:rPr>
          <w:rFonts w:hint="default"/>
          <w:sz w:val="21"/>
          <w:szCs w:val="21"/>
          <w:lang w:eastAsia="ja-JP"/>
        </w:rPr>
        <w:t xml:space="preserve">, </w:t>
      </w:r>
      <w:r>
        <w:rPr>
          <w:rFonts w:hint="default"/>
          <w:sz w:val="21"/>
          <w:szCs w:val="21"/>
          <w:lang w:val="en-US" w:eastAsia="ja-JP"/>
        </w:rPr>
        <w:t>France</w:t>
      </w:r>
      <w:r>
        <w:rPr>
          <w:rFonts w:hint="default"/>
          <w:sz w:val="21"/>
          <w:szCs w:val="21"/>
          <w:lang w:eastAsia="ja-JP"/>
        </w:rPr>
        <w:t xml:space="preserve">, </w:t>
      </w:r>
      <w:r>
        <w:rPr>
          <w:rFonts w:hint="default"/>
          <w:sz w:val="21"/>
          <w:szCs w:val="21"/>
          <w:lang w:val="en-US" w:eastAsia="ja-JP"/>
        </w:rPr>
        <w:t xml:space="preserve">Aug </w:t>
      </w:r>
      <w:r>
        <w:rPr>
          <w:rFonts w:hint="default"/>
          <w:sz w:val="21"/>
          <w:szCs w:val="21"/>
          <w:lang w:eastAsia="ja-JP"/>
        </w:rPr>
        <w:t>2</w:t>
      </w:r>
      <w:r>
        <w:rPr>
          <w:rFonts w:hint="default"/>
          <w:sz w:val="21"/>
          <w:szCs w:val="21"/>
          <w:lang w:val="en-US" w:eastAsia="ja-JP"/>
        </w:rPr>
        <w:t>1st</w:t>
      </w:r>
      <w:r>
        <w:rPr>
          <w:rFonts w:hint="default"/>
          <w:sz w:val="21"/>
          <w:szCs w:val="21"/>
          <w:lang w:eastAsia="ja-JP"/>
        </w:rPr>
        <w:t xml:space="preserve"> – </w:t>
      </w:r>
      <w:r>
        <w:rPr>
          <w:rFonts w:hint="default"/>
          <w:sz w:val="21"/>
          <w:szCs w:val="21"/>
          <w:lang w:val="en-US" w:eastAsia="ja-JP"/>
        </w:rPr>
        <w:t>Aug 25</w:t>
      </w:r>
      <w:r>
        <w:rPr>
          <w:rFonts w:hint="default"/>
          <w:sz w:val="21"/>
          <w:szCs w:val="21"/>
          <w:lang w:eastAsia="ja-JP"/>
        </w:rPr>
        <w:t>th, 2023</w:t>
      </w:r>
      <w:r>
        <w:rPr>
          <w:rFonts w:hint="default"/>
          <w:sz w:val="21"/>
          <w:szCs w:val="21"/>
        </w:rPr>
        <w:t>.</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黑体">
    <w:altName w:val="汉仪中黑KW"/>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0000000000000000000"/>
    <w:charset w:val="86"/>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Times New Roman Regular">
    <w:panose1 w:val="02020603050405020304"/>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Times New Roman Bold">
    <w:panose1 w:val="020206030504050203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2000000" w:usb3="00000000" w:csb0="0000019F" w:csb1="00000000"/>
  </w:font>
  <w:font w:name="Helvetica">
    <w:panose1 w:val="00000000000000000000"/>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Kingsoft Math">
    <w:panose1 w:val="020405030504060302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汉仪楷体简">
    <w:panose1 w:val="02010600000101010101"/>
    <w:charset w:val="86"/>
    <w:family w:val="auto"/>
    <w:pitch w:val="default"/>
    <w:sig w:usb0="00000000" w:usb1="00000000" w:usb2="00000000" w:usb3="00000000" w:csb0="00060000" w:csb1="00000000"/>
  </w:font>
  <w:font w:name="汉仪中等线KW">
    <w:panose1 w:val="01010104010101010101"/>
    <w:charset w:val="86"/>
    <w:family w:val="auto"/>
    <w:pitch w:val="default"/>
    <w:sig w:usb0="00000000" w:usb1="00000000" w:usb2="00000000" w:usb3="00000000" w:csb0="00160000" w:csb1="00000000"/>
  </w:font>
  <w:font w:name="Hiragino Sans">
    <w:panose1 w:val="020B0300000000000000"/>
    <w:charset w:val="86"/>
    <w:family w:val="auto"/>
    <w:pitch w:val="default"/>
    <w:sig w:usb0="00000000" w:usb1="00000000" w:usb2="00000000" w:usb3="00000000" w:csb0="00160000" w:csb1="00000000"/>
  </w:font>
  <w:font w:name="宋体-繁">
    <w:panose1 w:val="0201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0A83E99"/>
    <w:multiLevelType w:val="multilevel"/>
    <w:tmpl w:val="10A83E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FD14460"/>
    <w:multiLevelType w:val="multilevel"/>
    <w:tmpl w:val="1FD144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ABA644D"/>
    <w:rsid w:val="0F774053"/>
    <w:rsid w:val="0FDD8809"/>
    <w:rsid w:val="15B372AA"/>
    <w:rsid w:val="17EBB894"/>
    <w:rsid w:val="1D77210A"/>
    <w:rsid w:val="1DBFCF75"/>
    <w:rsid w:val="1F6D61E1"/>
    <w:rsid w:val="1FDF7B2E"/>
    <w:rsid w:val="21D6AAEE"/>
    <w:rsid w:val="24E7788B"/>
    <w:rsid w:val="25F60033"/>
    <w:rsid w:val="262FDE10"/>
    <w:rsid w:val="27CD39BB"/>
    <w:rsid w:val="2DFC39B3"/>
    <w:rsid w:val="2FEFB852"/>
    <w:rsid w:val="2FFF0910"/>
    <w:rsid w:val="33BFC216"/>
    <w:rsid w:val="33D99B23"/>
    <w:rsid w:val="344FAE63"/>
    <w:rsid w:val="36FB53E2"/>
    <w:rsid w:val="376F329E"/>
    <w:rsid w:val="37BD405F"/>
    <w:rsid w:val="37DF72BE"/>
    <w:rsid w:val="37ED665C"/>
    <w:rsid w:val="3AFE7647"/>
    <w:rsid w:val="3B9FDA07"/>
    <w:rsid w:val="3DBCD48F"/>
    <w:rsid w:val="3DDD4E43"/>
    <w:rsid w:val="3DFFF30A"/>
    <w:rsid w:val="3E7F69D9"/>
    <w:rsid w:val="3EB0DEAC"/>
    <w:rsid w:val="3F1EA326"/>
    <w:rsid w:val="3F2B23EF"/>
    <w:rsid w:val="3F5F4F5C"/>
    <w:rsid w:val="43FC8854"/>
    <w:rsid w:val="45DFB29F"/>
    <w:rsid w:val="4BBFA4DA"/>
    <w:rsid w:val="4FDE59BC"/>
    <w:rsid w:val="4FFDE089"/>
    <w:rsid w:val="526B3157"/>
    <w:rsid w:val="56F7C409"/>
    <w:rsid w:val="56FEFD72"/>
    <w:rsid w:val="575DA153"/>
    <w:rsid w:val="57FF24D5"/>
    <w:rsid w:val="57FFC9BF"/>
    <w:rsid w:val="5B7F3E68"/>
    <w:rsid w:val="5BBAE1C9"/>
    <w:rsid w:val="5BEE5FB0"/>
    <w:rsid w:val="5BF55C17"/>
    <w:rsid w:val="5CEE39EA"/>
    <w:rsid w:val="5D7F05C3"/>
    <w:rsid w:val="5E979AC2"/>
    <w:rsid w:val="5F535351"/>
    <w:rsid w:val="5FB6A664"/>
    <w:rsid w:val="5FBF1E51"/>
    <w:rsid w:val="5FD2BADA"/>
    <w:rsid w:val="5FFA0628"/>
    <w:rsid w:val="5FFB9AED"/>
    <w:rsid w:val="5FFC4478"/>
    <w:rsid w:val="5FFE1F94"/>
    <w:rsid w:val="60DF593A"/>
    <w:rsid w:val="63BF0D5B"/>
    <w:rsid w:val="677E98F6"/>
    <w:rsid w:val="68729C6F"/>
    <w:rsid w:val="6AF608AF"/>
    <w:rsid w:val="6B9EA134"/>
    <w:rsid w:val="6BB71CF4"/>
    <w:rsid w:val="6BEF902F"/>
    <w:rsid w:val="6DBE3A92"/>
    <w:rsid w:val="6E9F9260"/>
    <w:rsid w:val="6EDE6783"/>
    <w:rsid w:val="6EFB743C"/>
    <w:rsid w:val="6FBE0CF4"/>
    <w:rsid w:val="6FED7894"/>
    <w:rsid w:val="6FFBCAA1"/>
    <w:rsid w:val="6FFF9953"/>
    <w:rsid w:val="71F51E51"/>
    <w:rsid w:val="73FB3773"/>
    <w:rsid w:val="765FE580"/>
    <w:rsid w:val="767930E1"/>
    <w:rsid w:val="76EB3C1E"/>
    <w:rsid w:val="76FFEFEF"/>
    <w:rsid w:val="776D8219"/>
    <w:rsid w:val="777CBB9C"/>
    <w:rsid w:val="779FD2AC"/>
    <w:rsid w:val="779FE271"/>
    <w:rsid w:val="77DF36E9"/>
    <w:rsid w:val="77E77227"/>
    <w:rsid w:val="77FE0CDC"/>
    <w:rsid w:val="77FFAF33"/>
    <w:rsid w:val="78DEDA2F"/>
    <w:rsid w:val="7AF68335"/>
    <w:rsid w:val="7AFB02EA"/>
    <w:rsid w:val="7AFD2113"/>
    <w:rsid w:val="7AFF30E9"/>
    <w:rsid w:val="7AFFD6C2"/>
    <w:rsid w:val="7B3792B3"/>
    <w:rsid w:val="7B957C48"/>
    <w:rsid w:val="7BDDE22E"/>
    <w:rsid w:val="7CFEB186"/>
    <w:rsid w:val="7D7793AC"/>
    <w:rsid w:val="7D7F9325"/>
    <w:rsid w:val="7DBBAC17"/>
    <w:rsid w:val="7DDF8DD0"/>
    <w:rsid w:val="7E1A9A32"/>
    <w:rsid w:val="7EB35653"/>
    <w:rsid w:val="7EDF7774"/>
    <w:rsid w:val="7EEF12D1"/>
    <w:rsid w:val="7EFE5454"/>
    <w:rsid w:val="7F3F8A99"/>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D62E8"/>
    <w:rsid w:val="7FFE001F"/>
    <w:rsid w:val="7FFF91B8"/>
    <w:rsid w:val="7FFFA651"/>
    <w:rsid w:val="857FEFF8"/>
    <w:rsid w:val="8FE755CF"/>
    <w:rsid w:val="969F3024"/>
    <w:rsid w:val="9777AA83"/>
    <w:rsid w:val="97EE074A"/>
    <w:rsid w:val="99CA754B"/>
    <w:rsid w:val="9D3F2093"/>
    <w:rsid w:val="9EBAD2D1"/>
    <w:rsid w:val="9FEAE931"/>
    <w:rsid w:val="A5F3040B"/>
    <w:rsid w:val="ABFCEBEF"/>
    <w:rsid w:val="ADCB23BE"/>
    <w:rsid w:val="AEB9BDA1"/>
    <w:rsid w:val="AECFA18A"/>
    <w:rsid w:val="AEDF705C"/>
    <w:rsid w:val="AF754317"/>
    <w:rsid w:val="AFF4A1AE"/>
    <w:rsid w:val="AFF624BB"/>
    <w:rsid w:val="B1AECA0B"/>
    <w:rsid w:val="B3FD64C0"/>
    <w:rsid w:val="B5E39A4B"/>
    <w:rsid w:val="B679177B"/>
    <w:rsid w:val="B9F7D287"/>
    <w:rsid w:val="BA6A6CBC"/>
    <w:rsid w:val="BCDF9CF9"/>
    <w:rsid w:val="BDE76AE0"/>
    <w:rsid w:val="BDE970BD"/>
    <w:rsid w:val="BDF7D62B"/>
    <w:rsid w:val="BDFF7D8C"/>
    <w:rsid w:val="BDFFC32C"/>
    <w:rsid w:val="BEFEE8C4"/>
    <w:rsid w:val="BF7A0ED0"/>
    <w:rsid w:val="BFB1931E"/>
    <w:rsid w:val="BFCDD244"/>
    <w:rsid w:val="BFD788A3"/>
    <w:rsid w:val="BFFDCE01"/>
    <w:rsid w:val="C5CEB0CA"/>
    <w:rsid w:val="C7ABC2A8"/>
    <w:rsid w:val="CEFA8CF2"/>
    <w:rsid w:val="CF3BEFF9"/>
    <w:rsid w:val="D47953C9"/>
    <w:rsid w:val="D5FB17A3"/>
    <w:rsid w:val="D6D456F7"/>
    <w:rsid w:val="D79FA68A"/>
    <w:rsid w:val="D7D7AA59"/>
    <w:rsid w:val="DB6EEE8D"/>
    <w:rsid w:val="DB7DBBD5"/>
    <w:rsid w:val="DBBACDB3"/>
    <w:rsid w:val="DCDF8E85"/>
    <w:rsid w:val="DD5CFEAC"/>
    <w:rsid w:val="DDBF5D93"/>
    <w:rsid w:val="DDD7660C"/>
    <w:rsid w:val="DDDC71E9"/>
    <w:rsid w:val="DDE75C48"/>
    <w:rsid w:val="DDFC2C37"/>
    <w:rsid w:val="DE8515B7"/>
    <w:rsid w:val="DEB93888"/>
    <w:rsid w:val="DF7EEEA8"/>
    <w:rsid w:val="DF9769BC"/>
    <w:rsid w:val="DFDB70AD"/>
    <w:rsid w:val="DFF5600C"/>
    <w:rsid w:val="E1BF8BEA"/>
    <w:rsid w:val="E2D59307"/>
    <w:rsid w:val="E74E20F0"/>
    <w:rsid w:val="E75F42C6"/>
    <w:rsid w:val="E7E4E154"/>
    <w:rsid w:val="E9DE473C"/>
    <w:rsid w:val="EAFF3CB1"/>
    <w:rsid w:val="EB7DB26A"/>
    <w:rsid w:val="EBCD7028"/>
    <w:rsid w:val="ECCBE433"/>
    <w:rsid w:val="ECF74B98"/>
    <w:rsid w:val="ECFF8E85"/>
    <w:rsid w:val="EDF76E3F"/>
    <w:rsid w:val="EEDD433D"/>
    <w:rsid w:val="EEF94023"/>
    <w:rsid w:val="EEFF32C8"/>
    <w:rsid w:val="EF6B4BB5"/>
    <w:rsid w:val="EF76DAAA"/>
    <w:rsid w:val="EF894D7B"/>
    <w:rsid w:val="EFBEB75A"/>
    <w:rsid w:val="EFE233E7"/>
    <w:rsid w:val="EFE7F64E"/>
    <w:rsid w:val="EFF7A41B"/>
    <w:rsid w:val="EFFBBE0A"/>
    <w:rsid w:val="EFFBE63D"/>
    <w:rsid w:val="EFFCA274"/>
    <w:rsid w:val="EFFF0E7B"/>
    <w:rsid w:val="F2B68CEC"/>
    <w:rsid w:val="F3C78476"/>
    <w:rsid w:val="F3EF7A4F"/>
    <w:rsid w:val="F3F7A6D4"/>
    <w:rsid w:val="F478BEDA"/>
    <w:rsid w:val="F55CBA20"/>
    <w:rsid w:val="F56C35F7"/>
    <w:rsid w:val="F5BFC20D"/>
    <w:rsid w:val="F77FDE71"/>
    <w:rsid w:val="F7FA03F7"/>
    <w:rsid w:val="F8CB2B39"/>
    <w:rsid w:val="F97C556A"/>
    <w:rsid w:val="F9BF175D"/>
    <w:rsid w:val="F9FB0D05"/>
    <w:rsid w:val="F9FEF2C7"/>
    <w:rsid w:val="FA39FEB3"/>
    <w:rsid w:val="FAAE7A90"/>
    <w:rsid w:val="FAB75252"/>
    <w:rsid w:val="FAC76833"/>
    <w:rsid w:val="FAFC8166"/>
    <w:rsid w:val="FB879E8F"/>
    <w:rsid w:val="FBEFF870"/>
    <w:rsid w:val="FBFEF90C"/>
    <w:rsid w:val="FBFF76BE"/>
    <w:rsid w:val="FC98A25A"/>
    <w:rsid w:val="FCEFEE6F"/>
    <w:rsid w:val="FD177C5D"/>
    <w:rsid w:val="FD342F55"/>
    <w:rsid w:val="FD7752CB"/>
    <w:rsid w:val="FDB77CE1"/>
    <w:rsid w:val="FDD71B4E"/>
    <w:rsid w:val="FDFA7E3C"/>
    <w:rsid w:val="FDFE0A5F"/>
    <w:rsid w:val="FE67D3D6"/>
    <w:rsid w:val="FE9D5B11"/>
    <w:rsid w:val="FEEB8173"/>
    <w:rsid w:val="FEEFFBC7"/>
    <w:rsid w:val="FEFB550D"/>
    <w:rsid w:val="FEFB7CCE"/>
    <w:rsid w:val="FEFF9E0A"/>
    <w:rsid w:val="FF3561AC"/>
    <w:rsid w:val="FFBADFE0"/>
    <w:rsid w:val="FFCF0A7A"/>
    <w:rsid w:val="FFE754DE"/>
    <w:rsid w:val="FFE7BD44"/>
    <w:rsid w:val="FFEF67C4"/>
    <w:rsid w:val="FFF7A94C"/>
    <w:rsid w:val="FFF929C2"/>
    <w:rsid w:val="FFFD3A00"/>
    <w:rsid w:val="FFFDE8DB"/>
    <w:rsid w:val="FFFE1BC2"/>
    <w:rsid w:val="FFFFD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0"/>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标题 1 字符"/>
    <w:basedOn w:val="11"/>
    <w:link w:val="2"/>
    <w:uiPriority w:val="0"/>
    <w:rPr>
      <w:rFonts w:ascii="Times New Roman" w:hAnsi="Times New Roman" w:eastAsia="Malgun Gothic" w:cs="Times New Roman"/>
      <w:sz w:val="36"/>
      <w:szCs w:val="36"/>
    </w:rPr>
  </w:style>
  <w:style w:type="character" w:customStyle="1" w:styleId="36">
    <w:name w:val="标题 2 字符"/>
    <w:basedOn w:val="11"/>
    <w:link w:val="3"/>
    <w:uiPriority w:val="0"/>
    <w:rPr>
      <w:rFonts w:ascii="Times New Roman" w:hAnsi="Times New Roman" w:eastAsia="Malgun Gothic" w:cs="Times New Roman"/>
      <w:sz w:val="32"/>
      <w:szCs w:val="32"/>
    </w:rPr>
  </w:style>
  <w:style w:type="character" w:customStyle="1" w:styleId="37">
    <w:name w:val="标题 3 字符"/>
    <w:basedOn w:val="11"/>
    <w:link w:val="4"/>
    <w:uiPriority w:val="0"/>
    <w:rPr>
      <w:rFonts w:ascii="Times New Roman" w:hAnsi="Times New Roman" w:eastAsia="Malgun Gothic" w:cs="Times New Roman"/>
      <w:sz w:val="28"/>
      <w:szCs w:val="28"/>
    </w:rPr>
  </w:style>
  <w:style w:type="character" w:customStyle="1" w:styleId="38">
    <w:name w:val="标题 4 字符"/>
    <w:basedOn w:val="11"/>
    <w:link w:val="5"/>
    <w:uiPriority w:val="0"/>
    <w:rPr>
      <w:rFonts w:ascii="Times New Roman" w:hAnsi="Times New Roman" w:eastAsia="Malgun Gothic" w:cs="Times New Roman"/>
    </w:rPr>
  </w:style>
  <w:style w:type="character" w:customStyle="1" w:styleId="39">
    <w:name w:val="标题 5 字符"/>
    <w:basedOn w:val="11"/>
    <w:link w:val="6"/>
    <w:uiPriority w:val="0"/>
    <w:rPr>
      <w:rFonts w:ascii="Times New Roman" w:hAnsi="Times New Roman" w:eastAsia="Malgun Gothic" w:cs="Times New Roman"/>
      <w:sz w:val="22"/>
      <w:szCs w:val="22"/>
    </w:rPr>
  </w:style>
  <w:style w:type="character" w:customStyle="1" w:styleId="40">
    <w:name w:val="标题 6 字符"/>
    <w:basedOn w:val="11"/>
    <w:link w:val="7"/>
    <w:uiPriority w:val="0"/>
    <w:rPr>
      <w:rFonts w:ascii="Times New Roman" w:hAnsi="Times New Roman" w:eastAsia="Times New Roman" w:cs="Arial"/>
    </w:rPr>
  </w:style>
  <w:style w:type="character" w:customStyle="1" w:styleId="41">
    <w:name w:val="标题 7 字符"/>
    <w:basedOn w:val="11"/>
    <w:link w:val="8"/>
    <w:uiPriority w:val="0"/>
    <w:rPr>
      <w:rFonts w:ascii="Times New Roman" w:hAnsi="Times New Roman" w:eastAsia="Times New Roman" w:cs="Arial"/>
    </w:rPr>
  </w:style>
  <w:style w:type="character" w:customStyle="1" w:styleId="42">
    <w:name w:val="标题 8 字符"/>
    <w:basedOn w:val="11"/>
    <w:link w:val="9"/>
    <w:uiPriority w:val="0"/>
    <w:rPr>
      <w:rFonts w:ascii="Times New Roman" w:hAnsi="Times New Roman" w:eastAsia="Times New Roman" w:cs="Arial"/>
    </w:rPr>
  </w:style>
  <w:style w:type="character" w:customStyle="1" w:styleId="43">
    <w:name w:val="标题 9 字符"/>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numPr>
        <w:ilvl w:val="0"/>
        <w:numId w:val="2"/>
      </w:numPr>
      <w:tabs>
        <w:tab w:val="left" w:pos="810"/>
      </w:tabs>
      <w:spacing w:afterLines="50"/>
      <w:ind w:left="442" w:hanging="442"/>
      <w:jc w:val="both"/>
    </w:pPr>
    <w:rPr>
      <w:rFonts w:cs="Batang"/>
      <w:szCs w:val="20"/>
      <w:lang w:val="en-GB" w:eastAsia="en-US"/>
    </w:rPr>
  </w:style>
  <w:style w:type="character" w:customStyle="1" w:styleId="46">
    <w:name w:val="0 Main text Char"/>
    <w:basedOn w:val="11"/>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题注 字符"/>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批注框文本 字符"/>
    <w:basedOn w:val="11"/>
    <w:link w:val="13"/>
    <w:uiPriority w:val="0"/>
    <w:rPr>
      <w:rFonts w:ascii="Times New Roman" w:hAnsi="Times New Roman" w:eastAsia="Times New Roman" w:cs="Times New Roman"/>
      <w:sz w:val="18"/>
      <w:szCs w:val="18"/>
    </w:rPr>
  </w:style>
  <w:style w:type="character" w:customStyle="1" w:styleId="57">
    <w:name w:val="页眉 字符"/>
    <w:basedOn w:val="11"/>
    <w:link w:val="22"/>
    <w:uiPriority w:val="0"/>
    <w:rPr>
      <w:rFonts w:ascii="Arial" w:hAnsi="Arial" w:eastAsia="宋体" w:cs="Times New Roman"/>
      <w:b/>
      <w:sz w:val="18"/>
      <w:szCs w:val="20"/>
      <w:lang w:val="en-GB" w:eastAsia="ja-JP"/>
    </w:rPr>
  </w:style>
  <w:style w:type="character" w:customStyle="1" w:styleId="58">
    <w:name w:val="页脚 字符"/>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11"/>
    <w:link w:val="19"/>
    <w:uiPriority w:val="0"/>
    <w:rPr>
      <w:rFonts w:ascii="宋体" w:hAnsi="Times New Roman" w:eastAsia="宋体" w:cs="Times New Roman"/>
      <w:sz w:val="18"/>
      <w:szCs w:val="18"/>
      <w:lang w:val="en-GB" w:eastAsia="en-US"/>
    </w:rPr>
  </w:style>
  <w:style w:type="character" w:customStyle="1" w:styleId="72">
    <w:name w:val="批注文字 字符"/>
    <w:basedOn w:val="11"/>
    <w:link w:val="17"/>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18"/>
    <w:uiPriority w:val="0"/>
    <w:rPr>
      <w:rFonts w:ascii="Times New Roman" w:hAnsi="Times New Roman" w:eastAsia="宋体" w:cs="Times New Roman"/>
      <w:b/>
      <w:bCs/>
      <w:sz w:val="20"/>
      <w:szCs w:val="20"/>
      <w:lang w:val="en-GB" w:eastAsia="en-US"/>
    </w:rPr>
  </w:style>
  <w:style w:type="character" w:customStyle="1" w:styleId="74">
    <w:name w:val="正文文本 字符"/>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Cs w:val="20"/>
      <w:lang w:val="en-GB" w:eastAsia="en-US"/>
    </w:rPr>
  </w:style>
  <w:style w:type="paragraph" w:customStyle="1" w:styleId="86">
    <w:name w:val="FP"/>
    <w:basedOn w:val="1"/>
    <w:uiPriority w:val="0"/>
    <w:rPr>
      <w:rFonts w:eastAsia="宋体"/>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Cs w:val="20"/>
      <w:lang w:val="en-GB" w:eastAsia="en-US"/>
    </w:rPr>
  </w:style>
  <w:style w:type="paragraph" w:customStyle="1" w:styleId="99">
    <w:name w:val="B4"/>
    <w:basedOn w:val="1"/>
    <w:uiPriority w:val="0"/>
    <w:pPr>
      <w:spacing w:after="180"/>
      <w:ind w:left="1418" w:hanging="284"/>
    </w:pPr>
    <w:rPr>
      <w:rFonts w:eastAsia="宋体"/>
      <w:szCs w:val="20"/>
      <w:lang w:val="en-GB" w:eastAsia="en-US"/>
    </w:rPr>
  </w:style>
  <w:style w:type="paragraph" w:customStyle="1" w:styleId="100">
    <w:name w:val="B5"/>
    <w:basedOn w:val="1"/>
    <w:uiPriority w:val="0"/>
    <w:pPr>
      <w:spacing w:after="180"/>
      <w:ind w:left="1702" w:hanging="284"/>
    </w:pPr>
    <w:rPr>
      <w:rFonts w:eastAsia="宋体"/>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rPr>
  </w:style>
  <w:style w:type="character" w:customStyle="1" w:styleId="114">
    <w:name w:val="s2"/>
    <w:basedOn w:val="11"/>
    <w:uiPriority w:val="0"/>
  </w:style>
  <w:style w:type="paragraph" w:customStyle="1" w:styleId="115">
    <w:name w:val="s6"/>
    <w:basedOn w:val="1"/>
    <w:uiPriority w:val="0"/>
    <w:pPr>
      <w:spacing w:before="100" w:beforeAutospacing="1" w:after="100" w:afterAutospacing="1"/>
    </w:pPr>
    <w:rPr>
      <w:rFonts w:ascii="宋体" w:hAnsi="宋体" w:eastAsia="宋体" w:cs="宋体"/>
    </w:rPr>
  </w:style>
  <w:style w:type="character" w:customStyle="1" w:styleId="116">
    <w:name w:val="s4"/>
    <w:basedOn w:val="11"/>
    <w:uiPriority w:val="0"/>
  </w:style>
  <w:style w:type="character" w:customStyle="1" w:styleId="117">
    <w:name w:val="s5"/>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2412</Words>
  <Characters>13754</Characters>
  <Lines>114</Lines>
  <Paragraphs>32</Paragraphs>
  <TotalTime>1</TotalTime>
  <ScaleCrop>false</ScaleCrop>
  <LinksUpToDate>false</LinksUpToDate>
  <CharactersWithSpaces>16134</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2023-04-11T00:41:00Z</dcterms:created>
  <dc:creator>Sigen Ye</dc:creator>
  <cp:lastModifiedBy>Dan Wu</cp:lastModifiedBy>
  <cp:lastPrinted>2019-11-11T16:46:00Z</cp:lastPrinted>
  <dcterms:modified xsi:type="dcterms:W3CDTF">2023-09-29T15:57:33Z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1033-6.0.2.8225</vt:lpwstr>
  </property>
  <property fmtid="{D5CDD505-2E9C-101B-9397-08002B2CF9AE}" pid="3" name="ICV">
    <vt:lpwstr>F7084F7CC4EF615B84CDD56493CF9DB4_43</vt:lpwstr>
  </property>
</Properties>
</file>